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B0" w:rsidRPr="00DD684A" w:rsidRDefault="00187F26" w:rsidP="007042B0">
      <w:pPr>
        <w:spacing w:after="0" w:line="240" w:lineRule="auto"/>
        <w:jc w:val="center"/>
        <w:rPr>
          <w:rFonts w:asciiTheme="majorHAnsi" w:hAnsiTheme="majorHAnsi" w:cstheme="majorHAnsi"/>
          <w:b/>
          <w:sz w:val="28"/>
          <w:szCs w:val="28"/>
        </w:rPr>
      </w:pPr>
      <w:r w:rsidRPr="00DD684A">
        <w:rPr>
          <w:rFonts w:asciiTheme="majorHAnsi" w:hAnsiTheme="majorHAnsi" w:cstheme="majorHAnsi"/>
          <w:b/>
          <w:sz w:val="28"/>
          <w:szCs w:val="28"/>
        </w:rPr>
        <w:t xml:space="preserve">TEXTO APROBADO EN LA COMISIÓN PRIMERA DE LA HONORABLE CÁMARA DE REPRESENTANTES EN PRIMER DEBATE DEL </w:t>
      </w:r>
    </w:p>
    <w:p w:rsidR="00DD684A" w:rsidRPr="00DD684A" w:rsidRDefault="00187F26" w:rsidP="00DD684A">
      <w:pPr>
        <w:ind w:right="120"/>
        <w:jc w:val="center"/>
        <w:rPr>
          <w:rFonts w:asciiTheme="majorHAnsi" w:hAnsiTheme="majorHAnsi" w:cstheme="majorHAnsi"/>
          <w:b/>
          <w:i/>
          <w:sz w:val="28"/>
          <w:szCs w:val="28"/>
        </w:rPr>
      </w:pPr>
      <w:r w:rsidRPr="00DD684A">
        <w:rPr>
          <w:rFonts w:asciiTheme="majorHAnsi" w:hAnsiTheme="majorHAnsi" w:cstheme="majorHAnsi"/>
          <w:b/>
          <w:sz w:val="28"/>
          <w:szCs w:val="28"/>
          <w:lang w:bidi="es-CO"/>
        </w:rPr>
        <w:t xml:space="preserve">PROYECTO DE LEY </w:t>
      </w:r>
      <w:r w:rsidRPr="00DD684A">
        <w:rPr>
          <w:rFonts w:asciiTheme="majorHAnsi" w:eastAsia="Arial" w:hAnsiTheme="majorHAnsi" w:cstheme="majorHAnsi"/>
          <w:b/>
          <w:sz w:val="28"/>
          <w:szCs w:val="28"/>
        </w:rPr>
        <w:t xml:space="preserve">N° </w:t>
      </w:r>
      <w:r w:rsidR="00DD684A" w:rsidRPr="00DD684A">
        <w:rPr>
          <w:rFonts w:asciiTheme="majorHAnsi" w:hAnsiTheme="majorHAnsi" w:cstheme="majorHAnsi"/>
          <w:b/>
          <w:sz w:val="28"/>
          <w:szCs w:val="28"/>
        </w:rPr>
        <w:t>432 DE 2024 CÁMARA “POR LA CUAL SE REFORMA EL CÓDIGO PENAL PARA CAMBIAR LA REGLA DE RESPONSABILIDAD DE LAS PERSONAS QUE COMETAN LOS DELITOS DE HOMICIDIO O LESIONES PERSONALES CONDUCIENDO EN ESTADO DE EMBRIAGUEZ”. (LEY ARLES ARBELÁEZ MORALES).</w:t>
      </w:r>
    </w:p>
    <w:p w:rsidR="00402853" w:rsidRDefault="00402853" w:rsidP="00DD684A">
      <w:pPr>
        <w:spacing w:before="240" w:after="240" w:line="360" w:lineRule="auto"/>
        <w:jc w:val="center"/>
        <w:rPr>
          <w:rFonts w:ascii="Calibri Light" w:hAnsi="Calibri Light" w:cs="Calibri Light"/>
          <w:b/>
          <w:sz w:val="28"/>
          <w:szCs w:val="28"/>
        </w:rPr>
      </w:pPr>
    </w:p>
    <w:p w:rsidR="00DD684A" w:rsidRPr="00891636" w:rsidRDefault="00AF16B0" w:rsidP="00DD684A">
      <w:pPr>
        <w:spacing w:before="240" w:after="240" w:line="360" w:lineRule="auto"/>
        <w:jc w:val="center"/>
        <w:rPr>
          <w:rFonts w:ascii="Calibri Light" w:hAnsi="Calibri Light" w:cs="Calibri Light"/>
          <w:b/>
          <w:sz w:val="28"/>
          <w:szCs w:val="28"/>
        </w:rPr>
      </w:pPr>
      <w:r>
        <w:rPr>
          <w:rFonts w:ascii="Calibri Light" w:hAnsi="Calibri Light" w:cs="Calibri Light"/>
          <w:b/>
          <w:sz w:val="28"/>
          <w:szCs w:val="28"/>
        </w:rPr>
        <w:t>EL CONGRESO DE COLOMBIA</w:t>
      </w:r>
    </w:p>
    <w:p w:rsidR="00DD684A" w:rsidRPr="00891636" w:rsidRDefault="00DD684A" w:rsidP="00DD684A">
      <w:pPr>
        <w:spacing w:before="240" w:after="240" w:line="360" w:lineRule="auto"/>
        <w:jc w:val="center"/>
        <w:rPr>
          <w:rFonts w:ascii="Calibri Light" w:hAnsi="Calibri Light" w:cs="Calibri Light"/>
          <w:b/>
          <w:sz w:val="28"/>
          <w:szCs w:val="28"/>
        </w:rPr>
      </w:pPr>
      <w:r w:rsidRPr="00891636">
        <w:rPr>
          <w:rFonts w:ascii="Calibri Light" w:hAnsi="Calibri Light" w:cs="Calibri Light"/>
          <w:b/>
          <w:sz w:val="28"/>
          <w:szCs w:val="28"/>
        </w:rPr>
        <w:t>DECRETA</w:t>
      </w:r>
      <w:r w:rsidR="00AF16B0">
        <w:rPr>
          <w:rFonts w:ascii="Calibri Light" w:hAnsi="Calibri Light" w:cs="Calibri Light"/>
          <w:b/>
          <w:sz w:val="28"/>
          <w:szCs w:val="28"/>
        </w:rPr>
        <w:t>:</w:t>
      </w:r>
    </w:p>
    <w:p w:rsidR="00DD684A" w:rsidRPr="00821660" w:rsidRDefault="00DD684A" w:rsidP="00DD684A">
      <w:pPr>
        <w:jc w:val="both"/>
        <w:rPr>
          <w:rFonts w:ascii="Calibri Light" w:eastAsia="Calibri" w:hAnsi="Calibri Light" w:cs="Calibri Light"/>
          <w:sz w:val="28"/>
          <w:szCs w:val="28"/>
        </w:rPr>
      </w:pPr>
      <w:r w:rsidRPr="00821660">
        <w:rPr>
          <w:rFonts w:ascii="Calibri Light" w:eastAsia="Calibri" w:hAnsi="Calibri Light" w:cs="Calibri Light"/>
          <w:b/>
          <w:sz w:val="28"/>
          <w:szCs w:val="28"/>
        </w:rPr>
        <w:t>Artículo 1.</w:t>
      </w:r>
      <w:r w:rsidRPr="00821660">
        <w:rPr>
          <w:rFonts w:ascii="Calibri Light" w:eastAsia="Calibri" w:hAnsi="Calibri Light" w:cs="Calibri Light"/>
          <w:sz w:val="28"/>
          <w:szCs w:val="28"/>
        </w:rPr>
        <w:t xml:space="preserve"> </w:t>
      </w:r>
      <w:r w:rsidRPr="00821660">
        <w:rPr>
          <w:rFonts w:ascii="Calibri Light" w:eastAsia="Calibri" w:hAnsi="Calibri Light" w:cs="Calibri Light"/>
          <w:b/>
          <w:sz w:val="28"/>
          <w:szCs w:val="28"/>
        </w:rPr>
        <w:t xml:space="preserve">Objeto de la ley: </w:t>
      </w:r>
      <w:r w:rsidRPr="00821660">
        <w:rPr>
          <w:rFonts w:ascii="Calibri Light" w:eastAsia="Calibri" w:hAnsi="Calibri Light" w:cs="Calibri Light"/>
          <w:sz w:val="28"/>
          <w:szCs w:val="28"/>
        </w:rPr>
        <w:t xml:space="preserve">La presente ley tiene por objeto </w:t>
      </w:r>
      <w:sdt>
        <w:sdtPr>
          <w:rPr>
            <w:rFonts w:ascii="Calibri Light" w:hAnsi="Calibri Light" w:cs="Calibri Light"/>
            <w:sz w:val="28"/>
            <w:szCs w:val="28"/>
          </w:rPr>
          <w:tag w:val="goog_rdk_0"/>
          <w:id w:val="60916423"/>
        </w:sdtPr>
        <w:sdtEndPr/>
        <w:sdtContent>
          <w:r w:rsidRPr="00821660">
            <w:rPr>
              <w:rFonts w:ascii="Calibri Light" w:eastAsia="Calibri" w:hAnsi="Calibri Light" w:cs="Calibri Light"/>
              <w:sz w:val="28"/>
              <w:szCs w:val="28"/>
            </w:rPr>
            <w:t xml:space="preserve">modificar </w:t>
          </w:r>
        </w:sdtContent>
      </w:sdt>
      <w:r w:rsidRPr="00821660">
        <w:rPr>
          <w:rFonts w:ascii="Calibri Light" w:eastAsia="Calibri" w:hAnsi="Calibri Light" w:cs="Calibri Light"/>
          <w:sz w:val="28"/>
          <w:szCs w:val="28"/>
        </w:rPr>
        <w:t xml:space="preserve">el régimen de responsabilidad penal de las personas que cometen los delitos de homicidio o lesiones personales cuando estos hayan sido ocasionados manejando vehículos automotores en estado de embriaguez, para </w:t>
      </w:r>
      <w:sdt>
        <w:sdtPr>
          <w:rPr>
            <w:rFonts w:ascii="Calibri Light" w:hAnsi="Calibri Light" w:cs="Calibri Light"/>
            <w:sz w:val="28"/>
            <w:szCs w:val="28"/>
          </w:rPr>
          <w:tag w:val="goog_rdk_3"/>
          <w:id w:val="1914732555"/>
        </w:sdtPr>
        <w:sdtEndPr/>
        <w:sdtContent>
          <w:r w:rsidRPr="00821660">
            <w:rPr>
              <w:rFonts w:ascii="Calibri Light" w:eastAsia="Calibri" w:hAnsi="Calibri Light" w:cs="Calibri Light"/>
              <w:sz w:val="28"/>
              <w:szCs w:val="28"/>
            </w:rPr>
            <w:t xml:space="preserve">que sean procesados bajo la modalidad de delito doloso, en modalidad de dolo eventual, y no culposo, </w:t>
          </w:r>
          <w:sdt>
            <w:sdtPr>
              <w:rPr>
                <w:rFonts w:ascii="Calibri Light" w:hAnsi="Calibri Light" w:cs="Calibri Light"/>
                <w:sz w:val="28"/>
                <w:szCs w:val="28"/>
              </w:rPr>
              <w:tag w:val="goog_rdk_4"/>
              <w:id w:val="-2071175512"/>
            </w:sdtPr>
            <w:sdtEndPr/>
            <w:sdtContent>
              <w:r w:rsidRPr="00821660">
                <w:rPr>
                  <w:rFonts w:ascii="Calibri Light" w:hAnsi="Calibri Light" w:cs="Calibri Light"/>
                  <w:sz w:val="28"/>
                  <w:szCs w:val="28"/>
                </w:rPr>
                <w:t xml:space="preserve"> </w:t>
              </w:r>
            </w:sdtContent>
          </w:sdt>
        </w:sdtContent>
      </w:sdt>
      <w:r w:rsidRPr="00821660">
        <w:rPr>
          <w:rFonts w:ascii="Calibri Light" w:eastAsia="Calibri" w:hAnsi="Calibri Light" w:cs="Calibri Light"/>
          <w:sz w:val="28"/>
          <w:szCs w:val="28"/>
        </w:rPr>
        <w:t xml:space="preserve">en atención al riesgo que asumen por auto inducirse de manera consciente, deliberada y voluntaria, a un estado de afectación mental que incrementa el riesgo de materialización de la conducta punible.  </w:t>
      </w:r>
    </w:p>
    <w:p w:rsidR="00DD684A" w:rsidRPr="00821660" w:rsidRDefault="00DD684A" w:rsidP="00DD684A">
      <w:pPr>
        <w:jc w:val="both"/>
        <w:rPr>
          <w:rFonts w:ascii="Calibri Light" w:eastAsia="Calibri" w:hAnsi="Calibri Light" w:cs="Calibri Light"/>
          <w:sz w:val="28"/>
          <w:szCs w:val="28"/>
        </w:rPr>
      </w:pPr>
    </w:p>
    <w:p w:rsidR="00DD684A" w:rsidRPr="00821660" w:rsidRDefault="00DD684A" w:rsidP="00DD684A">
      <w:pPr>
        <w:jc w:val="both"/>
        <w:rPr>
          <w:rFonts w:ascii="Calibri Light" w:eastAsia="Calibri" w:hAnsi="Calibri Light" w:cs="Calibri Light"/>
          <w:sz w:val="28"/>
          <w:szCs w:val="28"/>
        </w:rPr>
      </w:pPr>
      <w:r w:rsidRPr="00821660">
        <w:rPr>
          <w:rFonts w:ascii="Calibri Light" w:eastAsia="Calibri" w:hAnsi="Calibri Light" w:cs="Calibri Light"/>
          <w:b/>
          <w:sz w:val="28"/>
          <w:szCs w:val="28"/>
        </w:rPr>
        <w:t>Artículo 2.</w:t>
      </w:r>
      <w:r w:rsidRPr="00821660">
        <w:rPr>
          <w:rFonts w:ascii="Calibri Light" w:eastAsia="Calibri" w:hAnsi="Calibri Light" w:cs="Calibri Light"/>
          <w:sz w:val="28"/>
          <w:szCs w:val="28"/>
        </w:rPr>
        <w:t xml:space="preserve"> </w:t>
      </w:r>
      <w:r w:rsidRPr="00821660">
        <w:rPr>
          <w:rFonts w:ascii="Calibri Light" w:eastAsia="Calibri" w:hAnsi="Calibri Light" w:cs="Calibri Light"/>
          <w:b/>
          <w:sz w:val="28"/>
          <w:szCs w:val="28"/>
        </w:rPr>
        <w:t xml:space="preserve">Ámbito de aplicación. </w:t>
      </w:r>
      <w:r w:rsidRPr="00821660">
        <w:rPr>
          <w:rFonts w:ascii="Calibri Light" w:eastAsia="Calibri" w:hAnsi="Calibri Light" w:cs="Calibri Light"/>
          <w:sz w:val="28"/>
          <w:szCs w:val="28"/>
        </w:rPr>
        <w:t>La presente ley aplica para tipos penales de homicidio y lesiones personales cuando sean cometidos por un individuo que se encuentre conduciendo un vehículo automotor en estado de embriaguez, para que, al momento de realizarse la imputación, ésta se realice bajo la modalidad de dolo eventual.</w:t>
      </w:r>
    </w:p>
    <w:p w:rsidR="00936449" w:rsidRDefault="00936449" w:rsidP="00936449">
      <w:pPr>
        <w:jc w:val="both"/>
        <w:rPr>
          <w:rFonts w:ascii="Calibri Light" w:eastAsia="Calibri" w:hAnsi="Calibri Light" w:cs="Calibri Light"/>
          <w:b/>
          <w:sz w:val="28"/>
          <w:szCs w:val="28"/>
        </w:rPr>
      </w:pPr>
    </w:p>
    <w:p w:rsidR="00936449" w:rsidRPr="00821660" w:rsidRDefault="00936449" w:rsidP="00936449">
      <w:pPr>
        <w:jc w:val="both"/>
        <w:rPr>
          <w:rFonts w:ascii="Calibri Light" w:eastAsia="Calibri" w:hAnsi="Calibri Light" w:cs="Calibri Light"/>
          <w:sz w:val="28"/>
          <w:szCs w:val="28"/>
        </w:rPr>
      </w:pPr>
      <w:r w:rsidRPr="00821660">
        <w:rPr>
          <w:rFonts w:ascii="Calibri Light" w:eastAsia="Calibri" w:hAnsi="Calibri Light" w:cs="Calibri Light"/>
          <w:b/>
          <w:sz w:val="28"/>
          <w:szCs w:val="28"/>
        </w:rPr>
        <w:t>Artículo 3.</w:t>
      </w:r>
      <w:r w:rsidRPr="00821660">
        <w:rPr>
          <w:rFonts w:ascii="Calibri Light" w:eastAsia="Calibri" w:hAnsi="Calibri Light" w:cs="Calibri Light"/>
          <w:sz w:val="28"/>
          <w:szCs w:val="28"/>
        </w:rPr>
        <w:t xml:space="preserve"> </w:t>
      </w:r>
      <w:r w:rsidRPr="00821660">
        <w:rPr>
          <w:rFonts w:ascii="Calibri Light" w:eastAsia="Calibri" w:hAnsi="Calibri Light" w:cs="Calibri Light"/>
          <w:b/>
          <w:sz w:val="28"/>
          <w:szCs w:val="28"/>
        </w:rPr>
        <w:t xml:space="preserve"> </w:t>
      </w:r>
      <w:r>
        <w:rPr>
          <w:rFonts w:ascii="Calibri Light" w:eastAsia="Calibri" w:hAnsi="Calibri Light" w:cs="Calibri Light"/>
          <w:sz w:val="28"/>
          <w:szCs w:val="28"/>
        </w:rPr>
        <w:t>Modifíquese el No. 6 del Artículo 110 de</w:t>
      </w:r>
      <w:r w:rsidRPr="00821660">
        <w:rPr>
          <w:rFonts w:ascii="Calibri Light" w:eastAsia="Calibri" w:hAnsi="Calibri Light" w:cs="Calibri Light"/>
          <w:sz w:val="28"/>
          <w:szCs w:val="28"/>
        </w:rPr>
        <w:t xml:space="preserve"> Ley 599 de 2000, el cual quedará así: </w:t>
      </w:r>
    </w:p>
    <w:p w:rsidR="00936449" w:rsidRPr="00936449" w:rsidRDefault="00936449" w:rsidP="00936449">
      <w:pPr>
        <w:jc w:val="both"/>
        <w:rPr>
          <w:rFonts w:ascii="Calibri Light" w:eastAsia="Calibri" w:hAnsi="Calibri Light" w:cs="Calibri Light"/>
          <w:b/>
          <w:sz w:val="28"/>
          <w:szCs w:val="28"/>
        </w:rPr>
      </w:pPr>
    </w:p>
    <w:p w:rsidR="00936449" w:rsidRPr="00936449" w:rsidRDefault="00936449" w:rsidP="00936449">
      <w:pPr>
        <w:jc w:val="both"/>
        <w:rPr>
          <w:rFonts w:ascii="Calibri Light" w:eastAsia="Calibri" w:hAnsi="Calibri Light" w:cs="Calibri Light"/>
          <w:sz w:val="28"/>
          <w:szCs w:val="28"/>
        </w:rPr>
      </w:pPr>
      <w:r w:rsidRPr="00936449">
        <w:rPr>
          <w:rFonts w:ascii="Calibri Light" w:eastAsia="Calibri" w:hAnsi="Calibri Light" w:cs="Calibri Light"/>
          <w:b/>
          <w:sz w:val="28"/>
          <w:szCs w:val="28"/>
        </w:rPr>
        <w:lastRenderedPageBreak/>
        <w:t>ARTÍCULO 110. CIRCUNSTANCIAS DE AGRAVACIÓN PUNITIVA PARA EL HOMICIDIO CULPOSO.</w:t>
      </w:r>
      <w:r>
        <w:rPr>
          <w:rFonts w:ascii="Calibri Light" w:eastAsia="Calibri" w:hAnsi="Calibri Light" w:cs="Calibri Light"/>
          <w:b/>
          <w:sz w:val="28"/>
          <w:szCs w:val="28"/>
        </w:rPr>
        <w:t xml:space="preserve"> </w:t>
      </w:r>
      <w:r>
        <w:rPr>
          <w:rFonts w:ascii="Calibri Light" w:eastAsia="Calibri" w:hAnsi="Calibri Light" w:cs="Calibri Light"/>
          <w:sz w:val="28"/>
          <w:szCs w:val="28"/>
        </w:rPr>
        <w:t>La pena prevista en el artículo anterior se aumentará:</w:t>
      </w:r>
    </w:p>
    <w:p w:rsidR="00936449" w:rsidRPr="00936449" w:rsidRDefault="00936449" w:rsidP="00936449">
      <w:pPr>
        <w:jc w:val="both"/>
        <w:rPr>
          <w:rFonts w:ascii="Calibri Light" w:eastAsia="Calibri" w:hAnsi="Calibri Light" w:cs="Calibri Light"/>
          <w:sz w:val="28"/>
          <w:szCs w:val="28"/>
        </w:rPr>
      </w:pPr>
      <w:r w:rsidRPr="00936449">
        <w:rPr>
          <w:rFonts w:ascii="Calibri Light" w:eastAsia="Calibri" w:hAnsi="Calibri Light" w:cs="Calibri Light"/>
          <w:sz w:val="28"/>
          <w:szCs w:val="28"/>
        </w:rPr>
        <w:t>(…)</w:t>
      </w:r>
    </w:p>
    <w:p w:rsidR="00936449" w:rsidRPr="00936449" w:rsidRDefault="00936449" w:rsidP="00936449">
      <w:pPr>
        <w:jc w:val="both"/>
        <w:rPr>
          <w:rFonts w:ascii="Calibri Light" w:eastAsia="Calibri" w:hAnsi="Calibri Light" w:cs="Calibri Light"/>
          <w:sz w:val="28"/>
          <w:szCs w:val="28"/>
        </w:rPr>
      </w:pPr>
      <w:r>
        <w:rPr>
          <w:rFonts w:ascii="Calibri Light" w:eastAsia="Calibri" w:hAnsi="Calibri Light" w:cs="Calibri Light"/>
          <w:sz w:val="28"/>
          <w:szCs w:val="28"/>
        </w:rPr>
        <w:t>6. Si al momento de cometer la conducta el agente estuviese conduciendo vehículo automotor bajo el efecto de droga o sustancia que produzca dependencia física o síquica, y ello haya sido determinante para su ocurrencia, la pena se aumentará de las dos terceras partes al doble, en la pena principal y accesoria.</w:t>
      </w:r>
    </w:p>
    <w:p w:rsidR="00936449" w:rsidRPr="00821660" w:rsidRDefault="00936449" w:rsidP="00DD684A">
      <w:pPr>
        <w:jc w:val="both"/>
        <w:rPr>
          <w:rFonts w:ascii="Calibri Light" w:eastAsia="Calibri" w:hAnsi="Calibri Light" w:cs="Calibri Light"/>
          <w:sz w:val="28"/>
          <w:szCs w:val="28"/>
        </w:rPr>
      </w:pPr>
    </w:p>
    <w:p w:rsidR="00DD684A" w:rsidRPr="00821660" w:rsidRDefault="0006371A" w:rsidP="00DD684A">
      <w:pPr>
        <w:jc w:val="both"/>
        <w:rPr>
          <w:rFonts w:ascii="Calibri Light" w:eastAsia="Calibri" w:hAnsi="Calibri Light" w:cs="Calibri Light"/>
          <w:sz w:val="28"/>
          <w:szCs w:val="28"/>
        </w:rPr>
      </w:pPr>
      <w:r>
        <w:rPr>
          <w:rFonts w:ascii="Calibri Light" w:eastAsia="Calibri" w:hAnsi="Calibri Light" w:cs="Calibri Light"/>
          <w:b/>
          <w:sz w:val="28"/>
          <w:szCs w:val="28"/>
        </w:rPr>
        <w:t>Artículo 4</w:t>
      </w:r>
      <w:r w:rsidR="00DD684A" w:rsidRPr="00821660">
        <w:rPr>
          <w:rFonts w:ascii="Calibri Light" w:eastAsia="Calibri" w:hAnsi="Calibri Light" w:cs="Calibri Light"/>
          <w:b/>
          <w:sz w:val="28"/>
          <w:szCs w:val="28"/>
        </w:rPr>
        <w:t>.</w:t>
      </w:r>
      <w:r w:rsidR="00DD684A" w:rsidRPr="00821660">
        <w:rPr>
          <w:rFonts w:ascii="Calibri Light" w:eastAsia="Calibri" w:hAnsi="Calibri Light" w:cs="Calibri Light"/>
          <w:sz w:val="28"/>
          <w:szCs w:val="28"/>
        </w:rPr>
        <w:t xml:space="preserve"> </w:t>
      </w:r>
      <w:r w:rsidR="00DD684A" w:rsidRPr="00821660">
        <w:rPr>
          <w:rFonts w:ascii="Calibri Light" w:eastAsia="Calibri" w:hAnsi="Calibri Light" w:cs="Calibri Light"/>
          <w:b/>
          <w:sz w:val="28"/>
          <w:szCs w:val="28"/>
        </w:rPr>
        <w:t xml:space="preserve"> </w:t>
      </w:r>
      <w:r w:rsidR="00DD684A" w:rsidRPr="00821660">
        <w:rPr>
          <w:rFonts w:ascii="Calibri Light" w:eastAsia="Calibri" w:hAnsi="Calibri Light" w:cs="Calibri Light"/>
          <w:sz w:val="28"/>
          <w:szCs w:val="28"/>
        </w:rPr>
        <w:t xml:space="preserve">Adiciónese un nuevo artículo, Artículo 121A, a la Ley 599 de 2000, el cual quedará así: </w:t>
      </w:r>
    </w:p>
    <w:p w:rsidR="00DD684A" w:rsidRPr="00821660" w:rsidRDefault="00DD684A" w:rsidP="00DD684A">
      <w:pPr>
        <w:jc w:val="both"/>
        <w:rPr>
          <w:rFonts w:ascii="Calibri Light" w:eastAsia="Calibri" w:hAnsi="Calibri Light" w:cs="Calibri Light"/>
          <w:b/>
          <w:sz w:val="28"/>
          <w:szCs w:val="28"/>
        </w:rPr>
      </w:pPr>
    </w:p>
    <w:p w:rsidR="00DD684A" w:rsidRPr="00821660" w:rsidRDefault="00DD684A" w:rsidP="00DD684A">
      <w:pPr>
        <w:ind w:left="720"/>
        <w:jc w:val="both"/>
        <w:rPr>
          <w:rFonts w:ascii="Calibri Light" w:eastAsia="Calibri" w:hAnsi="Calibri Light" w:cs="Calibri Light"/>
          <w:bCs/>
          <w:sz w:val="28"/>
          <w:szCs w:val="28"/>
        </w:rPr>
      </w:pPr>
      <w:r w:rsidRPr="00821660">
        <w:rPr>
          <w:rFonts w:ascii="Calibri Light" w:eastAsia="Calibri" w:hAnsi="Calibri Light" w:cs="Calibri Light"/>
          <w:b/>
          <w:sz w:val="28"/>
          <w:szCs w:val="28"/>
        </w:rPr>
        <w:t>ARTÍCULO 121A. DISPOSICIONES COMUNES AL HOMICIDIO CULPOSO Y A LAS LESIONES PERSONALES CULPOSAS ORIGINADOS EN ACCIDENTES DE TRÁNSITO POR CONDUCTORES EN ESTADO DE EMBRIAGUEZ.</w:t>
      </w:r>
      <w:r w:rsidRPr="00821660">
        <w:rPr>
          <w:rFonts w:ascii="Calibri Light" w:eastAsia="Calibri" w:hAnsi="Calibri Light" w:cs="Calibri Light"/>
          <w:bCs/>
          <w:sz w:val="28"/>
          <w:szCs w:val="28"/>
        </w:rPr>
        <w:t xml:space="preserve"> No podrá ser considerada </w:t>
      </w:r>
      <w:r>
        <w:rPr>
          <w:rFonts w:ascii="Calibri Light" w:eastAsia="Calibri" w:hAnsi="Calibri Light" w:cs="Calibri Light"/>
          <w:bCs/>
          <w:sz w:val="28"/>
          <w:szCs w:val="28"/>
        </w:rPr>
        <w:t xml:space="preserve">a título de culpa </w:t>
      </w:r>
      <w:r w:rsidRPr="00821660">
        <w:rPr>
          <w:rFonts w:ascii="Calibri Light" w:eastAsia="Calibri" w:hAnsi="Calibri Light" w:cs="Calibri Light"/>
          <w:bCs/>
          <w:sz w:val="28"/>
          <w:szCs w:val="28"/>
        </w:rPr>
        <w:t xml:space="preserve">la conducta cuando el agente la hubiese cometido bajo la influencia del alcohol, </w:t>
      </w:r>
      <w:r w:rsidR="005B23D7">
        <w:rPr>
          <w:rFonts w:ascii="Calibri Light" w:eastAsia="Calibri" w:hAnsi="Calibri Light" w:cs="Calibri Light"/>
          <w:bCs/>
          <w:sz w:val="28"/>
          <w:szCs w:val="28"/>
        </w:rPr>
        <w:t>siempre que el agente haya previsto el resulta</w:t>
      </w:r>
      <w:r w:rsidR="00AF16B0">
        <w:rPr>
          <w:rFonts w:ascii="Calibri Light" w:eastAsia="Calibri" w:hAnsi="Calibri Light" w:cs="Calibri Light"/>
          <w:bCs/>
          <w:sz w:val="28"/>
          <w:szCs w:val="28"/>
        </w:rPr>
        <w:t>do como probable, lo cual debe</w:t>
      </w:r>
      <w:r w:rsidR="005B23D7">
        <w:rPr>
          <w:rFonts w:ascii="Calibri Light" w:eastAsia="Calibri" w:hAnsi="Calibri Light" w:cs="Calibri Light"/>
          <w:bCs/>
          <w:sz w:val="28"/>
          <w:szCs w:val="28"/>
        </w:rPr>
        <w:t xml:space="preserve"> inferirse de los hechos acreditados y cuál fue el grado de representación del resultado típico que el agente alcanzó antes de ejecutar el comportamiento, </w:t>
      </w:r>
      <w:r w:rsidRPr="00821660">
        <w:rPr>
          <w:rFonts w:ascii="Calibri Light" w:eastAsia="Calibri" w:hAnsi="Calibri Light" w:cs="Calibri Light"/>
          <w:bCs/>
          <w:sz w:val="28"/>
          <w:szCs w:val="28"/>
        </w:rPr>
        <w:t>caso en el cual se entiende que se actuó con dolo eventual</w:t>
      </w:r>
      <w:r w:rsidR="00E70D43">
        <w:rPr>
          <w:rFonts w:ascii="Calibri Light" w:eastAsia="Calibri" w:hAnsi="Calibri Light" w:cs="Calibri Light"/>
          <w:bCs/>
          <w:sz w:val="28"/>
          <w:szCs w:val="28"/>
        </w:rPr>
        <w:t xml:space="preserve"> y </w:t>
      </w:r>
      <w:r>
        <w:rPr>
          <w:rFonts w:ascii="Calibri Light" w:eastAsia="Calibri" w:hAnsi="Calibri Light" w:cs="Calibri Light"/>
          <w:bCs/>
          <w:sz w:val="28"/>
          <w:szCs w:val="28"/>
        </w:rPr>
        <w:t>a</w:t>
      </w:r>
      <w:r w:rsidRPr="00821660">
        <w:rPr>
          <w:rFonts w:ascii="Calibri Light" w:eastAsia="Calibri" w:hAnsi="Calibri Light" w:cs="Calibri Light"/>
          <w:bCs/>
          <w:sz w:val="28"/>
          <w:szCs w:val="28"/>
        </w:rPr>
        <w:t>sí deberá realizarse la respectiva imputación.</w:t>
      </w:r>
    </w:p>
    <w:p w:rsidR="00DD684A" w:rsidRDefault="00DD684A" w:rsidP="00DD684A">
      <w:pPr>
        <w:jc w:val="both"/>
        <w:rPr>
          <w:rFonts w:ascii="Calibri Light" w:eastAsia="Calibri" w:hAnsi="Calibri Light" w:cs="Calibri Light"/>
          <w:b/>
          <w:sz w:val="28"/>
          <w:szCs w:val="28"/>
        </w:rPr>
      </w:pPr>
    </w:p>
    <w:p w:rsidR="0006371A" w:rsidRPr="00832933" w:rsidRDefault="0006371A" w:rsidP="0006371A">
      <w:pPr>
        <w:jc w:val="both"/>
        <w:rPr>
          <w:rFonts w:ascii="Calibri Light" w:eastAsia="Calibri" w:hAnsi="Calibri Light" w:cs="Calibri Light"/>
          <w:sz w:val="28"/>
          <w:szCs w:val="28"/>
        </w:rPr>
      </w:pPr>
      <w:r>
        <w:rPr>
          <w:rFonts w:ascii="Calibri Light" w:eastAsia="Calibri" w:hAnsi="Calibri Light" w:cs="Calibri Light"/>
          <w:b/>
          <w:sz w:val="28"/>
          <w:szCs w:val="28"/>
        </w:rPr>
        <w:t>ARTÍCULO 5</w:t>
      </w:r>
      <w:r w:rsidRPr="00821660">
        <w:rPr>
          <w:rFonts w:ascii="Calibri Light" w:eastAsia="Calibri" w:hAnsi="Calibri Light" w:cs="Calibri Light"/>
          <w:b/>
          <w:sz w:val="28"/>
          <w:szCs w:val="28"/>
        </w:rPr>
        <w:t xml:space="preserve">. </w:t>
      </w:r>
      <w:r w:rsidR="00832933">
        <w:rPr>
          <w:rFonts w:ascii="Calibri Light" w:eastAsia="Calibri" w:hAnsi="Calibri Light" w:cs="Calibri Light"/>
          <w:sz w:val="28"/>
          <w:szCs w:val="28"/>
        </w:rPr>
        <w:t>Modificación del Artículo 68ª del Código Penal, el cual quedará de la siguiente manera:</w:t>
      </w:r>
    </w:p>
    <w:p w:rsidR="0042093D" w:rsidRDefault="00832933" w:rsidP="0042093D">
      <w:pPr>
        <w:shd w:val="clear" w:color="auto" w:fill="FFFFFF"/>
        <w:spacing w:before="75" w:after="75" w:line="240" w:lineRule="auto"/>
        <w:ind w:right="75"/>
        <w:jc w:val="both"/>
        <w:textAlignment w:val="baseline"/>
        <w:outlineLvl w:val="0"/>
        <w:rPr>
          <w:rFonts w:asciiTheme="majorHAnsi" w:eastAsia="Times New Roman" w:hAnsiTheme="majorHAnsi" w:cs="Arial"/>
          <w:color w:val="333333"/>
          <w:sz w:val="28"/>
          <w:szCs w:val="28"/>
          <w:lang w:eastAsia="es-CO"/>
        </w:rPr>
      </w:pPr>
      <w:r w:rsidRPr="00832933">
        <w:rPr>
          <w:rFonts w:asciiTheme="majorHAnsi" w:eastAsia="Times New Roman" w:hAnsiTheme="majorHAnsi" w:cs="Arial"/>
          <w:b/>
          <w:bCs/>
          <w:color w:val="333333"/>
          <w:kern w:val="36"/>
          <w:sz w:val="28"/>
          <w:szCs w:val="28"/>
          <w:lang w:eastAsia="es-CO"/>
        </w:rPr>
        <w:t>Artículo 68A. EXCLUSIÓN DE LOS BENEFICIOS Y SUBROGADOS PENALES</w:t>
      </w:r>
      <w:r w:rsidR="0042093D">
        <w:rPr>
          <w:rFonts w:asciiTheme="majorHAnsi" w:eastAsia="Times New Roman" w:hAnsiTheme="majorHAnsi" w:cs="Arial"/>
          <w:b/>
          <w:bCs/>
          <w:color w:val="333333"/>
          <w:kern w:val="36"/>
          <w:sz w:val="28"/>
          <w:szCs w:val="28"/>
          <w:lang w:eastAsia="es-CO"/>
        </w:rPr>
        <w:t xml:space="preserve">. </w:t>
      </w:r>
      <w:r w:rsidRPr="00832933">
        <w:rPr>
          <w:rFonts w:asciiTheme="majorHAnsi" w:eastAsia="Times New Roman" w:hAnsiTheme="majorHAnsi" w:cs="Arial"/>
          <w:color w:val="333333"/>
          <w:sz w:val="28"/>
          <w:szCs w:val="28"/>
          <w:lang w:eastAsia="es-CO"/>
        </w:rPr>
        <w:t>No se concederán; la suspensión condicional de la ejecución de la pena; la prisión domiciliaria como sustitutiva de la prisión; ni habrá lugar a ningún otro beneficio, judicial o administrativo, salvo los beneficios por colaboración reg</w:t>
      </w:r>
      <w:r w:rsidR="00ED1E60">
        <w:rPr>
          <w:rFonts w:asciiTheme="majorHAnsi" w:eastAsia="Times New Roman" w:hAnsiTheme="majorHAnsi" w:cs="Arial"/>
          <w:color w:val="333333"/>
          <w:sz w:val="28"/>
          <w:szCs w:val="28"/>
          <w:lang w:eastAsia="es-CO"/>
        </w:rPr>
        <w:t>ulados por la ley, siempre que é</w:t>
      </w:r>
      <w:r w:rsidRPr="00832933">
        <w:rPr>
          <w:rFonts w:asciiTheme="majorHAnsi" w:eastAsia="Times New Roman" w:hAnsiTheme="majorHAnsi" w:cs="Arial"/>
          <w:color w:val="333333"/>
          <w:sz w:val="28"/>
          <w:szCs w:val="28"/>
          <w:lang w:eastAsia="es-CO"/>
        </w:rPr>
        <w:t xml:space="preserve">sta sea efectiva, cuando la persona haya </w:t>
      </w:r>
      <w:r w:rsidRPr="00832933">
        <w:rPr>
          <w:rFonts w:asciiTheme="majorHAnsi" w:eastAsia="Times New Roman" w:hAnsiTheme="majorHAnsi" w:cs="Arial"/>
          <w:color w:val="333333"/>
          <w:sz w:val="28"/>
          <w:szCs w:val="28"/>
          <w:lang w:eastAsia="es-CO"/>
        </w:rPr>
        <w:lastRenderedPageBreak/>
        <w:t>sido condenada por delito doloso dentro de los cinco (5) años anteriores.</w:t>
      </w:r>
      <w:r w:rsidRPr="00832933">
        <w:rPr>
          <w:rFonts w:asciiTheme="majorHAnsi" w:eastAsia="Times New Roman" w:hAnsiTheme="majorHAnsi" w:cs="Arial"/>
          <w:color w:val="333333"/>
          <w:sz w:val="28"/>
          <w:szCs w:val="28"/>
          <w:lang w:eastAsia="es-CO"/>
        </w:rPr>
        <w:br/>
      </w:r>
      <w:r w:rsidRPr="00832933">
        <w:rPr>
          <w:rFonts w:asciiTheme="majorHAnsi" w:eastAsia="Times New Roman" w:hAnsiTheme="majorHAnsi" w:cs="Arial"/>
          <w:color w:val="333333"/>
          <w:sz w:val="28"/>
          <w:szCs w:val="28"/>
          <w:lang w:eastAsia="es-CO"/>
        </w:rPr>
        <w:br/>
      </w:r>
      <w:r w:rsidR="00ED1E60">
        <w:rPr>
          <w:rFonts w:asciiTheme="majorHAnsi" w:eastAsia="Times New Roman" w:hAnsiTheme="majorHAnsi" w:cs="Arial"/>
          <w:color w:val="333333"/>
          <w:sz w:val="28"/>
          <w:szCs w:val="28"/>
          <w:lang w:eastAsia="es-CO"/>
        </w:rPr>
        <w:t xml:space="preserve">No se concederán; la suspensión condicional de la ejecución de la pena; la prisión domiciliaria como sustitutiva de la prisión; ni habrá lugar a ningún otro beneficio, judicial o administrativo, salvo los beneficios por colaboración regulados por la ley, siempre que, ésta sea efectiva, cuando la persona haya sido condenada por delito doloso dentro de los cinco (5) años anteriores. </w:t>
      </w:r>
      <w:r w:rsidRPr="00832933">
        <w:rPr>
          <w:rFonts w:asciiTheme="majorHAnsi" w:eastAsia="Times New Roman" w:hAnsiTheme="majorHAnsi" w:cs="Arial"/>
          <w:color w:val="333333"/>
          <w:sz w:val="28"/>
          <w:szCs w:val="28"/>
          <w:lang w:eastAsia="es-CO"/>
        </w:rPr>
        <w:t>Tampoco quienes hayan sido condenados por delitos dolosos contra la Administr</w:t>
      </w:r>
      <w:r w:rsidR="00ED1E60">
        <w:rPr>
          <w:rFonts w:asciiTheme="majorHAnsi" w:eastAsia="Times New Roman" w:hAnsiTheme="majorHAnsi" w:cs="Arial"/>
          <w:color w:val="333333"/>
          <w:sz w:val="28"/>
          <w:szCs w:val="28"/>
          <w:lang w:eastAsia="es-CO"/>
        </w:rPr>
        <w:t>ación Pública; delitos contra la</w:t>
      </w:r>
      <w:r w:rsidRPr="00832933">
        <w:rPr>
          <w:rFonts w:asciiTheme="majorHAnsi" w:eastAsia="Times New Roman" w:hAnsiTheme="majorHAnsi" w:cs="Arial"/>
          <w:color w:val="333333"/>
          <w:sz w:val="28"/>
          <w:szCs w:val="28"/>
          <w:lang w:eastAsia="es-CO"/>
        </w:rPr>
        <w:t>s personas y bienes protegidos por el Derecho Internacional Humanitario; delitos contra la libertad, integridad y formación sexual; estafa y abuso de confianza que recaiga sobre los bienes del Estado; captación masiva y habitual de dineros; utilización inde</w:t>
      </w:r>
      <w:r w:rsidR="00ED1E60">
        <w:rPr>
          <w:rFonts w:asciiTheme="majorHAnsi" w:eastAsia="Times New Roman" w:hAnsiTheme="majorHAnsi" w:cs="Arial"/>
          <w:color w:val="333333"/>
          <w:sz w:val="28"/>
          <w:szCs w:val="28"/>
          <w:lang w:eastAsia="es-CO"/>
        </w:rPr>
        <w:t>bida de información privilegiada</w:t>
      </w:r>
      <w:r w:rsidRPr="00832933">
        <w:rPr>
          <w:rFonts w:asciiTheme="majorHAnsi" w:eastAsia="Times New Roman" w:hAnsiTheme="majorHAnsi" w:cs="Arial"/>
          <w:color w:val="333333"/>
          <w:sz w:val="28"/>
          <w:szCs w:val="28"/>
          <w:lang w:eastAsia="es-CO"/>
        </w:rPr>
        <w:t>; concierto para delinquir agravado; lavado de activos; soborno transnacional; violencia intrafamiliar; hurto calificado; abigeato enunciado en el inciso tercero del artículo 243; extorsión; homicidio agravado contemplado e</w:t>
      </w:r>
      <w:r w:rsidR="00ED1E60">
        <w:rPr>
          <w:rFonts w:asciiTheme="majorHAnsi" w:eastAsia="Times New Roman" w:hAnsiTheme="majorHAnsi" w:cs="Arial"/>
          <w:color w:val="333333"/>
          <w:sz w:val="28"/>
          <w:szCs w:val="28"/>
          <w:lang w:eastAsia="es-CO"/>
        </w:rPr>
        <w:t>n el numeral 6 del artículo 104;</w:t>
      </w:r>
      <w:r w:rsidRPr="00832933">
        <w:rPr>
          <w:rFonts w:asciiTheme="majorHAnsi" w:eastAsia="Times New Roman" w:hAnsiTheme="majorHAnsi" w:cs="Arial"/>
          <w:color w:val="333333"/>
          <w:sz w:val="28"/>
          <w:szCs w:val="28"/>
          <w:lang w:eastAsia="es-CO"/>
        </w:rPr>
        <w:t xml:space="preserve"> lesiones causadas con agentes químicos, ácidos y/o sustancias similares; violación ilícita de comunicaciones; violación ilícita de comunicaciones o correspondencia de carácter oficial; trata de personas; apología al genocidio; lesiones personales por pérdida anatómica o funcional de un órgano o miembro; </w:t>
      </w:r>
      <w:r w:rsidR="00591B77">
        <w:rPr>
          <w:rFonts w:asciiTheme="majorHAnsi" w:eastAsia="Times New Roman" w:hAnsiTheme="majorHAnsi" w:cs="Arial"/>
          <w:color w:val="333333"/>
          <w:sz w:val="28"/>
          <w:szCs w:val="28"/>
          <w:lang w:eastAsia="es-CO"/>
        </w:rPr>
        <w:t xml:space="preserve">homicidio y lesiones personales dolosas y culposas originados en accidentes de tránsito en estado de embriaguez; </w:t>
      </w:r>
      <w:r w:rsidRPr="00832933">
        <w:rPr>
          <w:rFonts w:asciiTheme="majorHAnsi" w:eastAsia="Times New Roman" w:hAnsiTheme="majorHAnsi" w:cs="Arial"/>
          <w:color w:val="333333"/>
          <w:sz w:val="28"/>
          <w:szCs w:val="28"/>
          <w:lang w:eastAsia="es-CO"/>
        </w:rPr>
        <w:t xml:space="preserve">desplazamiento forzado; tráfico de migrantes; </w:t>
      </w:r>
      <w:proofErr w:type="spellStart"/>
      <w:r w:rsidRPr="00832933">
        <w:rPr>
          <w:rFonts w:asciiTheme="majorHAnsi" w:eastAsia="Times New Roman" w:hAnsiTheme="majorHAnsi" w:cs="Arial"/>
          <w:color w:val="333333"/>
          <w:sz w:val="28"/>
          <w:szCs w:val="28"/>
          <w:lang w:eastAsia="es-CO"/>
        </w:rPr>
        <w:t>testaferrato</w:t>
      </w:r>
      <w:proofErr w:type="spellEnd"/>
      <w:r w:rsidRPr="00832933">
        <w:rPr>
          <w:rFonts w:asciiTheme="majorHAnsi" w:eastAsia="Times New Roman" w:hAnsiTheme="majorHAnsi" w:cs="Arial"/>
          <w:color w:val="333333"/>
          <w:sz w:val="28"/>
          <w:szCs w:val="28"/>
          <w:lang w:eastAsia="es-CO"/>
        </w:rPr>
        <w:t>; enriquecimiento ilícito de particulares; apoderamiento de hidrocarburos, sus derivados, biocombustibles o mezclas que los contengan; receptación; instigación a delinquir; empleo o lanzamiento de sustancias u objeto peligrosos; fabricación, importación, tráfico, posesión o uso de armas químicas, biológicas y nucleares; delitos relacionados con el tráfico de estupefacientes y otras infracciones;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producción y transf</w:t>
      </w:r>
      <w:r>
        <w:rPr>
          <w:rFonts w:asciiTheme="majorHAnsi" w:eastAsia="Times New Roman" w:hAnsiTheme="majorHAnsi" w:cs="Arial"/>
          <w:color w:val="333333"/>
          <w:sz w:val="28"/>
          <w:szCs w:val="28"/>
          <w:lang w:eastAsia="es-CO"/>
        </w:rPr>
        <w:t xml:space="preserve">erencia de minas antipersonales y feminicidio simple o </w:t>
      </w:r>
      <w:r w:rsidR="0042093D">
        <w:rPr>
          <w:rFonts w:asciiTheme="majorHAnsi" w:eastAsia="Times New Roman" w:hAnsiTheme="majorHAnsi" w:cs="Arial"/>
          <w:color w:val="333333"/>
          <w:sz w:val="28"/>
          <w:szCs w:val="28"/>
          <w:lang w:eastAsia="es-CO"/>
        </w:rPr>
        <w:t>agravado.</w:t>
      </w:r>
    </w:p>
    <w:p w:rsidR="0042093D" w:rsidRDefault="0042093D" w:rsidP="00832933">
      <w:pPr>
        <w:shd w:val="clear" w:color="auto" w:fill="FFFFFF"/>
        <w:spacing w:after="0" w:line="240" w:lineRule="auto"/>
        <w:jc w:val="both"/>
        <w:textAlignment w:val="baseline"/>
        <w:rPr>
          <w:rFonts w:asciiTheme="majorHAnsi" w:eastAsia="Times New Roman" w:hAnsiTheme="majorHAnsi" w:cs="Arial"/>
          <w:color w:val="333333"/>
          <w:sz w:val="28"/>
          <w:szCs w:val="28"/>
          <w:lang w:eastAsia="es-CO"/>
        </w:rPr>
      </w:pPr>
    </w:p>
    <w:p w:rsidR="0042093D" w:rsidRDefault="00832933" w:rsidP="00832933">
      <w:pPr>
        <w:shd w:val="clear" w:color="auto" w:fill="FFFFFF"/>
        <w:spacing w:after="0" w:line="240" w:lineRule="auto"/>
        <w:jc w:val="both"/>
        <w:textAlignment w:val="baseline"/>
        <w:rPr>
          <w:rFonts w:asciiTheme="majorHAnsi" w:eastAsia="Times New Roman" w:hAnsiTheme="majorHAnsi" w:cs="Arial"/>
          <w:color w:val="333333"/>
          <w:sz w:val="28"/>
          <w:szCs w:val="28"/>
          <w:lang w:eastAsia="es-CO"/>
        </w:rPr>
      </w:pPr>
      <w:r w:rsidRPr="0042093D">
        <w:rPr>
          <w:rFonts w:asciiTheme="majorHAnsi" w:eastAsia="Times New Roman" w:hAnsiTheme="majorHAnsi" w:cs="Arial"/>
          <w:color w:val="333333"/>
          <w:sz w:val="28"/>
          <w:szCs w:val="28"/>
          <w:lang w:eastAsia="es-CO"/>
        </w:rPr>
        <w:t>Lo dispuesto en el presente artículo no se aplicará respecto de la sustitución de la detención preventiva y de la sustitución de la ejecución de la pena en los</w:t>
      </w:r>
      <w:r w:rsidR="0042093D" w:rsidRPr="0042093D">
        <w:rPr>
          <w:rFonts w:asciiTheme="majorHAnsi" w:eastAsia="Times New Roman" w:hAnsiTheme="majorHAnsi" w:cs="Arial"/>
          <w:color w:val="333333"/>
          <w:sz w:val="28"/>
          <w:szCs w:val="28"/>
          <w:lang w:eastAsia="es-CO"/>
        </w:rPr>
        <w:t xml:space="preserve"> </w:t>
      </w:r>
      <w:r w:rsidR="0042093D">
        <w:rPr>
          <w:rFonts w:asciiTheme="majorHAnsi" w:eastAsia="Times New Roman" w:hAnsiTheme="majorHAnsi" w:cs="Arial"/>
          <w:color w:val="333333"/>
          <w:sz w:val="28"/>
          <w:szCs w:val="28"/>
          <w:lang w:eastAsia="es-CO"/>
        </w:rPr>
        <w:lastRenderedPageBreak/>
        <w:t xml:space="preserve">eventos contemplados </w:t>
      </w:r>
      <w:r w:rsidRPr="0042093D">
        <w:rPr>
          <w:rFonts w:asciiTheme="majorHAnsi" w:eastAsia="Times New Roman" w:hAnsiTheme="majorHAnsi" w:cs="Arial"/>
          <w:color w:val="333333"/>
          <w:sz w:val="28"/>
          <w:szCs w:val="28"/>
          <w:lang w:eastAsia="es-CO"/>
        </w:rPr>
        <w:t xml:space="preserve">en los numerales </w:t>
      </w:r>
      <w:r w:rsidR="0042093D">
        <w:rPr>
          <w:rFonts w:asciiTheme="majorHAnsi" w:eastAsia="Times New Roman" w:hAnsiTheme="majorHAnsi" w:cs="Arial"/>
          <w:color w:val="333333"/>
          <w:sz w:val="28"/>
          <w:szCs w:val="28"/>
          <w:lang w:eastAsia="es-CO"/>
        </w:rPr>
        <w:t>2, 3, 4 y 5 del artículo 314 de la Ley 906 de 2004.</w:t>
      </w:r>
      <w:r w:rsidR="009E2B17" w:rsidRPr="0042093D">
        <w:rPr>
          <w:rFonts w:asciiTheme="majorHAnsi" w:eastAsia="Times New Roman" w:hAnsiTheme="majorHAnsi" w:cs="Arial"/>
          <w:color w:val="333333"/>
          <w:sz w:val="28"/>
          <w:szCs w:val="28"/>
          <w:lang w:eastAsia="es-CO"/>
        </w:rPr>
        <w:t>PARÁGRAFO 1°</w:t>
      </w:r>
      <w:r w:rsidRPr="0042093D">
        <w:rPr>
          <w:rFonts w:asciiTheme="majorHAnsi" w:eastAsia="Times New Roman" w:hAnsiTheme="majorHAnsi" w:cs="Arial"/>
          <w:color w:val="333333"/>
          <w:sz w:val="28"/>
          <w:szCs w:val="28"/>
          <w:lang w:eastAsia="es-CO"/>
        </w:rPr>
        <w:t>. Lo dispuesto en el presente artículo no se aplicará a la libertad condicional contemplada en</w:t>
      </w:r>
      <w:r w:rsidR="0042093D">
        <w:rPr>
          <w:rFonts w:asciiTheme="majorHAnsi" w:eastAsia="Times New Roman" w:hAnsiTheme="majorHAnsi" w:cs="Arial"/>
          <w:color w:val="333333"/>
          <w:sz w:val="28"/>
          <w:szCs w:val="28"/>
          <w:lang w:eastAsia="es-CO"/>
        </w:rPr>
        <w:t xml:space="preserve"> el artículo 64 de este Código, </w:t>
      </w:r>
      <w:r w:rsidRPr="0042093D">
        <w:rPr>
          <w:rFonts w:asciiTheme="majorHAnsi" w:eastAsia="Times New Roman" w:hAnsiTheme="majorHAnsi" w:cs="Arial"/>
          <w:color w:val="333333"/>
          <w:sz w:val="28"/>
          <w:szCs w:val="28"/>
          <w:lang w:eastAsia="es-CO"/>
        </w:rPr>
        <w:t>ni tampoco para lo dispuesto en el ar</w:t>
      </w:r>
      <w:r w:rsidR="0042093D">
        <w:rPr>
          <w:rFonts w:asciiTheme="majorHAnsi" w:eastAsia="Times New Roman" w:hAnsiTheme="majorHAnsi" w:cs="Arial"/>
          <w:color w:val="333333"/>
          <w:sz w:val="28"/>
          <w:szCs w:val="28"/>
          <w:lang w:eastAsia="es-CO"/>
        </w:rPr>
        <w:t>tículo 38G del presente Código.</w:t>
      </w:r>
    </w:p>
    <w:p w:rsidR="0042093D" w:rsidRDefault="0042093D" w:rsidP="00832933">
      <w:pPr>
        <w:shd w:val="clear" w:color="auto" w:fill="FFFFFF"/>
        <w:spacing w:after="0" w:line="240" w:lineRule="auto"/>
        <w:jc w:val="both"/>
        <w:textAlignment w:val="baseline"/>
        <w:rPr>
          <w:rFonts w:asciiTheme="majorHAnsi" w:eastAsia="Times New Roman" w:hAnsiTheme="majorHAnsi" w:cs="Arial"/>
          <w:color w:val="333333"/>
          <w:sz w:val="28"/>
          <w:szCs w:val="28"/>
          <w:lang w:eastAsia="es-CO"/>
        </w:rPr>
      </w:pPr>
    </w:p>
    <w:p w:rsidR="00832933" w:rsidRDefault="009E2B17" w:rsidP="00832933">
      <w:pPr>
        <w:shd w:val="clear" w:color="auto" w:fill="FFFFFF"/>
        <w:spacing w:after="0" w:line="240" w:lineRule="auto"/>
        <w:jc w:val="both"/>
        <w:textAlignment w:val="baseline"/>
        <w:rPr>
          <w:rFonts w:asciiTheme="majorHAnsi" w:eastAsia="Times New Roman" w:hAnsiTheme="majorHAnsi" w:cs="Arial"/>
          <w:color w:val="333333"/>
          <w:sz w:val="28"/>
          <w:szCs w:val="28"/>
          <w:lang w:eastAsia="es-CO"/>
        </w:rPr>
      </w:pPr>
      <w:r>
        <w:rPr>
          <w:rFonts w:asciiTheme="majorHAnsi" w:eastAsia="Times New Roman" w:hAnsiTheme="majorHAnsi" w:cs="Arial"/>
          <w:b/>
          <w:color w:val="333333"/>
          <w:sz w:val="28"/>
          <w:szCs w:val="28"/>
          <w:lang w:eastAsia="es-CO"/>
        </w:rPr>
        <w:t>PARÁGRAFO 2°</w:t>
      </w:r>
      <w:r w:rsidR="00832933" w:rsidRPr="00832933">
        <w:rPr>
          <w:rFonts w:asciiTheme="majorHAnsi" w:eastAsia="Times New Roman" w:hAnsiTheme="majorHAnsi" w:cs="Arial"/>
          <w:b/>
          <w:color w:val="333333"/>
          <w:sz w:val="28"/>
          <w:szCs w:val="28"/>
          <w:lang w:eastAsia="es-CO"/>
        </w:rPr>
        <w:t>.</w:t>
      </w:r>
      <w:r w:rsidR="00832933" w:rsidRPr="00832933">
        <w:rPr>
          <w:rFonts w:asciiTheme="majorHAnsi" w:eastAsia="Times New Roman" w:hAnsiTheme="majorHAnsi" w:cs="Arial"/>
          <w:color w:val="333333"/>
          <w:sz w:val="28"/>
          <w:szCs w:val="28"/>
          <w:lang w:eastAsia="es-CO"/>
        </w:rPr>
        <w:t xml:space="preserve"> Lo dispuesto en el primer inciso del presente artículo no se aplicará respecto de la suspensión de la ejecución de la pena, cuando los antecedentes personales, sociales y familiares sean indicativos de que no existe la posibilidad de la ejecución de la pena.</w:t>
      </w:r>
    </w:p>
    <w:p w:rsidR="00CD1D47" w:rsidRPr="00832933" w:rsidRDefault="00CD1D47" w:rsidP="00832933">
      <w:pPr>
        <w:shd w:val="clear" w:color="auto" w:fill="FFFFFF"/>
        <w:spacing w:after="0" w:line="240" w:lineRule="auto"/>
        <w:jc w:val="both"/>
        <w:textAlignment w:val="baseline"/>
        <w:rPr>
          <w:rFonts w:asciiTheme="majorHAnsi" w:eastAsia="Times New Roman" w:hAnsiTheme="majorHAnsi" w:cs="Arial"/>
          <w:color w:val="333333"/>
          <w:sz w:val="28"/>
          <w:szCs w:val="28"/>
          <w:lang w:eastAsia="es-CO"/>
        </w:rPr>
      </w:pPr>
    </w:p>
    <w:p w:rsidR="00832933" w:rsidRPr="00832933" w:rsidRDefault="00832933" w:rsidP="00832933">
      <w:pPr>
        <w:shd w:val="clear" w:color="auto" w:fill="FFFFFF"/>
        <w:spacing w:after="0" w:line="240" w:lineRule="auto"/>
        <w:jc w:val="both"/>
        <w:textAlignment w:val="baseline"/>
        <w:rPr>
          <w:rFonts w:asciiTheme="majorHAnsi" w:eastAsia="Times New Roman" w:hAnsiTheme="majorHAnsi" w:cs="Arial"/>
          <w:color w:val="333333"/>
          <w:sz w:val="28"/>
          <w:szCs w:val="28"/>
          <w:lang w:eastAsia="es-CO"/>
        </w:rPr>
      </w:pPr>
      <w:r w:rsidRPr="00832933">
        <w:rPr>
          <w:rFonts w:asciiTheme="majorHAnsi" w:eastAsia="Times New Roman" w:hAnsiTheme="majorHAnsi" w:cs="Arial"/>
          <w:b/>
          <w:color w:val="333333"/>
          <w:sz w:val="28"/>
          <w:szCs w:val="28"/>
          <w:lang w:eastAsia="es-CO"/>
        </w:rPr>
        <w:t>PARÁGRAFO 3°</w:t>
      </w:r>
      <w:r w:rsidRPr="00832933">
        <w:rPr>
          <w:rFonts w:asciiTheme="majorHAnsi" w:eastAsia="Times New Roman" w:hAnsiTheme="majorHAnsi" w:cs="Arial"/>
          <w:color w:val="333333"/>
          <w:sz w:val="28"/>
          <w:szCs w:val="28"/>
          <w:lang w:eastAsia="es-CO"/>
        </w:rPr>
        <w:t>. Lo dispuesto en este artículo no se aplicará para las mujeres cabeza de familia que cumplan los requisitos establecidos en la presente ley</w:t>
      </w:r>
    </w:p>
    <w:p w:rsidR="00402853" w:rsidRDefault="00402853" w:rsidP="00DD684A">
      <w:pPr>
        <w:jc w:val="both"/>
        <w:rPr>
          <w:rFonts w:ascii="Calibri Light" w:eastAsia="Calibri" w:hAnsi="Calibri Light" w:cs="Calibri Light"/>
          <w:b/>
          <w:sz w:val="28"/>
          <w:szCs w:val="28"/>
        </w:rPr>
      </w:pPr>
    </w:p>
    <w:p w:rsidR="00DD684A" w:rsidRPr="00821660" w:rsidRDefault="0006371A" w:rsidP="00DD684A">
      <w:pPr>
        <w:jc w:val="both"/>
        <w:rPr>
          <w:rFonts w:ascii="Calibri Light" w:eastAsia="Calibri" w:hAnsi="Calibri Light" w:cs="Calibri Light"/>
          <w:sz w:val="28"/>
          <w:szCs w:val="28"/>
        </w:rPr>
      </w:pPr>
      <w:r>
        <w:rPr>
          <w:rFonts w:ascii="Calibri Light" w:eastAsia="Calibri" w:hAnsi="Calibri Light" w:cs="Calibri Light"/>
          <w:b/>
          <w:sz w:val="28"/>
          <w:szCs w:val="28"/>
        </w:rPr>
        <w:t>ARTÍCULO 6</w:t>
      </w:r>
      <w:r w:rsidR="00DD684A" w:rsidRPr="00821660">
        <w:rPr>
          <w:rFonts w:ascii="Calibri Light" w:eastAsia="Calibri" w:hAnsi="Calibri Light" w:cs="Calibri Light"/>
          <w:b/>
          <w:sz w:val="28"/>
          <w:szCs w:val="28"/>
        </w:rPr>
        <w:t>. VIGENCIA Y DEROGATORIAS</w:t>
      </w:r>
      <w:r w:rsidR="00DD684A" w:rsidRPr="00821660">
        <w:rPr>
          <w:rFonts w:ascii="Calibri Light" w:eastAsia="Calibri" w:hAnsi="Calibri Light" w:cs="Calibri Light"/>
          <w:sz w:val="28"/>
          <w:szCs w:val="28"/>
        </w:rPr>
        <w:t>. La presente ley rige a partir de su sanción y publicación y deroga todas las disposiciones que le sean contrarias.</w:t>
      </w:r>
    </w:p>
    <w:p w:rsidR="004730CF" w:rsidRPr="00DD684A" w:rsidRDefault="004730CF" w:rsidP="00DD54E9">
      <w:pPr>
        <w:tabs>
          <w:tab w:val="left" w:pos="4820"/>
        </w:tabs>
        <w:spacing w:after="0" w:line="240" w:lineRule="auto"/>
        <w:jc w:val="both"/>
        <w:rPr>
          <w:rFonts w:asciiTheme="majorHAnsi" w:eastAsia="Century Gothic" w:hAnsiTheme="majorHAnsi" w:cstheme="majorHAnsi"/>
          <w:sz w:val="28"/>
          <w:szCs w:val="28"/>
          <w:highlight w:val="white"/>
        </w:rPr>
      </w:pPr>
    </w:p>
    <w:p w:rsidR="00C7658D" w:rsidRPr="00DD684A" w:rsidRDefault="00210E09" w:rsidP="00DD54E9">
      <w:pPr>
        <w:tabs>
          <w:tab w:val="left" w:pos="4820"/>
        </w:tabs>
        <w:spacing w:after="0" w:line="240" w:lineRule="auto"/>
        <w:jc w:val="both"/>
        <w:rPr>
          <w:rFonts w:asciiTheme="majorHAnsi" w:eastAsia="Century Gothic" w:hAnsiTheme="majorHAnsi" w:cstheme="majorHAnsi"/>
          <w:sz w:val="28"/>
          <w:szCs w:val="28"/>
          <w:highlight w:val="white"/>
        </w:rPr>
      </w:pPr>
      <w:r w:rsidRPr="00DD684A">
        <w:rPr>
          <w:rFonts w:asciiTheme="majorHAnsi" w:eastAsia="Century Gothic" w:hAnsiTheme="majorHAnsi" w:cstheme="majorHAnsi"/>
          <w:sz w:val="28"/>
          <w:szCs w:val="28"/>
          <w:highlight w:val="white"/>
        </w:rPr>
        <w:t>E</w:t>
      </w:r>
      <w:r w:rsidR="00C7658D" w:rsidRPr="00DD684A">
        <w:rPr>
          <w:rFonts w:asciiTheme="majorHAnsi" w:eastAsia="Century Gothic" w:hAnsiTheme="majorHAnsi" w:cstheme="majorHAnsi"/>
          <w:sz w:val="28"/>
          <w:szCs w:val="28"/>
          <w:highlight w:val="white"/>
        </w:rPr>
        <w:t xml:space="preserve">n los anteriores términos fue aprobado </w:t>
      </w:r>
      <w:r w:rsidR="00D06595" w:rsidRPr="00DD684A">
        <w:rPr>
          <w:rFonts w:asciiTheme="majorHAnsi" w:eastAsia="Century Gothic" w:hAnsiTheme="majorHAnsi" w:cstheme="majorHAnsi"/>
          <w:sz w:val="28"/>
          <w:szCs w:val="28"/>
          <w:highlight w:val="white"/>
        </w:rPr>
        <w:t>co</w:t>
      </w:r>
      <w:r w:rsidR="00C7658D" w:rsidRPr="00DD684A">
        <w:rPr>
          <w:rFonts w:asciiTheme="majorHAnsi" w:eastAsia="Century Gothic" w:hAnsiTheme="majorHAnsi" w:cstheme="majorHAnsi"/>
          <w:sz w:val="28"/>
          <w:szCs w:val="28"/>
          <w:highlight w:val="white"/>
        </w:rPr>
        <w:t>n modificaciones en primer debate el presente Pro</w:t>
      </w:r>
      <w:r w:rsidR="00DE1E0A" w:rsidRPr="00DD684A">
        <w:rPr>
          <w:rFonts w:asciiTheme="majorHAnsi" w:eastAsia="Century Gothic" w:hAnsiTheme="majorHAnsi" w:cstheme="majorHAnsi"/>
          <w:sz w:val="28"/>
          <w:szCs w:val="28"/>
          <w:highlight w:val="white"/>
        </w:rPr>
        <w:t>yecto de Ley, según consta en</w:t>
      </w:r>
      <w:r w:rsidR="00C7658D" w:rsidRPr="00DD684A">
        <w:rPr>
          <w:rFonts w:asciiTheme="majorHAnsi" w:eastAsia="Century Gothic" w:hAnsiTheme="majorHAnsi" w:cstheme="majorHAnsi"/>
          <w:sz w:val="28"/>
          <w:szCs w:val="28"/>
          <w:highlight w:val="white"/>
        </w:rPr>
        <w:t xml:space="preserve"> Acta</w:t>
      </w:r>
      <w:r w:rsidR="00DE1E0A" w:rsidRPr="00DD684A">
        <w:rPr>
          <w:rFonts w:asciiTheme="majorHAnsi" w:eastAsia="Century Gothic" w:hAnsiTheme="majorHAnsi" w:cstheme="majorHAnsi"/>
          <w:sz w:val="28"/>
          <w:szCs w:val="28"/>
          <w:highlight w:val="white"/>
        </w:rPr>
        <w:t>s</w:t>
      </w:r>
      <w:r w:rsidR="00C7658D" w:rsidRPr="00DD684A">
        <w:rPr>
          <w:rFonts w:asciiTheme="majorHAnsi" w:eastAsia="Century Gothic" w:hAnsiTheme="majorHAnsi" w:cstheme="majorHAnsi"/>
          <w:sz w:val="28"/>
          <w:szCs w:val="28"/>
          <w:highlight w:val="white"/>
        </w:rPr>
        <w:t xml:space="preserve"> No. </w:t>
      </w:r>
      <w:r w:rsidR="009D3D9A" w:rsidRPr="00DD684A">
        <w:rPr>
          <w:rFonts w:asciiTheme="majorHAnsi" w:eastAsia="Century Gothic" w:hAnsiTheme="majorHAnsi" w:cstheme="majorHAnsi"/>
          <w:sz w:val="28"/>
          <w:szCs w:val="28"/>
          <w:highlight w:val="white"/>
        </w:rPr>
        <w:t>37</w:t>
      </w:r>
      <w:r w:rsidR="00DE1E0A" w:rsidRPr="00DD684A">
        <w:rPr>
          <w:rFonts w:asciiTheme="majorHAnsi" w:eastAsia="Century Gothic" w:hAnsiTheme="majorHAnsi" w:cstheme="majorHAnsi"/>
          <w:sz w:val="28"/>
          <w:szCs w:val="28"/>
          <w:highlight w:val="white"/>
        </w:rPr>
        <w:t xml:space="preserve"> de sesión del </w:t>
      </w:r>
      <w:r w:rsidR="009D3D9A" w:rsidRPr="00DD684A">
        <w:rPr>
          <w:rFonts w:asciiTheme="majorHAnsi" w:eastAsia="Century Gothic" w:hAnsiTheme="majorHAnsi" w:cstheme="majorHAnsi"/>
          <w:sz w:val="28"/>
          <w:szCs w:val="28"/>
          <w:highlight w:val="white"/>
        </w:rPr>
        <w:t>26</w:t>
      </w:r>
      <w:r w:rsidR="00DE1E0A" w:rsidRPr="00DD684A">
        <w:rPr>
          <w:rFonts w:asciiTheme="majorHAnsi" w:eastAsia="Century Gothic" w:hAnsiTheme="majorHAnsi" w:cstheme="majorHAnsi"/>
          <w:sz w:val="28"/>
          <w:szCs w:val="28"/>
          <w:highlight w:val="white"/>
        </w:rPr>
        <w:t xml:space="preserve"> de marzo de 2025</w:t>
      </w:r>
      <w:r w:rsidR="00C7658D" w:rsidRPr="00DD684A">
        <w:rPr>
          <w:rFonts w:asciiTheme="majorHAnsi" w:eastAsia="Century Gothic" w:hAnsiTheme="majorHAnsi" w:cstheme="majorHAnsi"/>
          <w:sz w:val="28"/>
          <w:szCs w:val="28"/>
          <w:highlight w:val="white"/>
        </w:rPr>
        <w:t>. Así mismo fue anunc</w:t>
      </w:r>
      <w:r w:rsidR="006E3F60" w:rsidRPr="00DD684A">
        <w:rPr>
          <w:rFonts w:asciiTheme="majorHAnsi" w:eastAsia="Century Gothic" w:hAnsiTheme="majorHAnsi" w:cstheme="majorHAnsi"/>
          <w:sz w:val="28"/>
          <w:szCs w:val="28"/>
          <w:highlight w:val="white"/>
        </w:rPr>
        <w:t>i</w:t>
      </w:r>
      <w:r w:rsidR="00DE1E0A" w:rsidRPr="00DD684A">
        <w:rPr>
          <w:rFonts w:asciiTheme="majorHAnsi" w:eastAsia="Century Gothic" w:hAnsiTheme="majorHAnsi" w:cstheme="majorHAnsi"/>
          <w:sz w:val="28"/>
          <w:szCs w:val="28"/>
          <w:highlight w:val="white"/>
        </w:rPr>
        <w:t>ado entre otras fechas</w:t>
      </w:r>
      <w:r w:rsidR="00F86683" w:rsidRPr="00DD684A">
        <w:rPr>
          <w:rFonts w:asciiTheme="majorHAnsi" w:eastAsia="Century Gothic" w:hAnsiTheme="majorHAnsi" w:cstheme="majorHAnsi"/>
          <w:sz w:val="28"/>
          <w:szCs w:val="28"/>
          <w:highlight w:val="white"/>
        </w:rPr>
        <w:t>,</w:t>
      </w:r>
      <w:r w:rsidR="009D3D9A" w:rsidRPr="00DD684A">
        <w:rPr>
          <w:rFonts w:asciiTheme="majorHAnsi" w:eastAsia="Century Gothic" w:hAnsiTheme="majorHAnsi" w:cstheme="majorHAnsi"/>
          <w:sz w:val="28"/>
          <w:szCs w:val="28"/>
          <w:highlight w:val="white"/>
        </w:rPr>
        <w:t xml:space="preserve"> el día 19</w:t>
      </w:r>
      <w:r w:rsidR="00DE1E0A" w:rsidRPr="00DD684A">
        <w:rPr>
          <w:rFonts w:asciiTheme="majorHAnsi" w:eastAsia="Century Gothic" w:hAnsiTheme="majorHAnsi" w:cstheme="majorHAnsi"/>
          <w:sz w:val="28"/>
          <w:szCs w:val="28"/>
          <w:highlight w:val="white"/>
        </w:rPr>
        <w:t xml:space="preserve"> de marzo de 2025</w:t>
      </w:r>
      <w:r w:rsidR="009D3D9A" w:rsidRPr="00DD684A">
        <w:rPr>
          <w:rFonts w:asciiTheme="majorHAnsi" w:eastAsia="Century Gothic" w:hAnsiTheme="majorHAnsi" w:cstheme="majorHAnsi"/>
          <w:sz w:val="28"/>
          <w:szCs w:val="28"/>
          <w:highlight w:val="white"/>
        </w:rPr>
        <w:t>, según consta en el Acta No. 36</w:t>
      </w:r>
      <w:r w:rsidR="00DE1E0A" w:rsidRPr="00DD684A">
        <w:rPr>
          <w:rFonts w:asciiTheme="majorHAnsi" w:eastAsia="Century Gothic" w:hAnsiTheme="majorHAnsi" w:cstheme="majorHAnsi"/>
          <w:sz w:val="28"/>
          <w:szCs w:val="28"/>
          <w:highlight w:val="white"/>
        </w:rPr>
        <w:t xml:space="preserve"> de sesión de esa misma fecha</w:t>
      </w:r>
      <w:r w:rsidR="00C7658D" w:rsidRPr="00DD684A">
        <w:rPr>
          <w:rFonts w:asciiTheme="majorHAnsi" w:eastAsia="Century Gothic" w:hAnsiTheme="majorHAnsi" w:cstheme="majorHAnsi"/>
          <w:sz w:val="28"/>
          <w:szCs w:val="28"/>
          <w:highlight w:val="white"/>
        </w:rPr>
        <w:t>.</w:t>
      </w:r>
    </w:p>
    <w:p w:rsidR="00E90D44" w:rsidRPr="00DD684A" w:rsidRDefault="00E90D44" w:rsidP="00DD54E9">
      <w:pPr>
        <w:tabs>
          <w:tab w:val="left" w:pos="4678"/>
          <w:tab w:val="left" w:pos="5103"/>
        </w:tabs>
        <w:spacing w:after="0" w:line="240" w:lineRule="auto"/>
        <w:jc w:val="both"/>
        <w:rPr>
          <w:rFonts w:asciiTheme="majorHAnsi" w:eastAsia="Century Gothic" w:hAnsiTheme="majorHAnsi" w:cstheme="majorHAnsi"/>
          <w:b/>
          <w:sz w:val="28"/>
          <w:szCs w:val="28"/>
          <w:highlight w:val="white"/>
        </w:rPr>
      </w:pPr>
    </w:p>
    <w:p w:rsidR="00A92BE9" w:rsidRPr="00DD684A" w:rsidRDefault="00A92BE9" w:rsidP="00C7658D">
      <w:pPr>
        <w:tabs>
          <w:tab w:val="left" w:pos="4678"/>
          <w:tab w:val="left" w:pos="5103"/>
        </w:tabs>
        <w:spacing w:after="0" w:line="240" w:lineRule="auto"/>
        <w:rPr>
          <w:rFonts w:asciiTheme="majorHAnsi" w:eastAsia="Century Gothic" w:hAnsiTheme="majorHAnsi" w:cstheme="majorHAnsi"/>
          <w:b/>
          <w:sz w:val="28"/>
          <w:szCs w:val="28"/>
          <w:highlight w:val="white"/>
        </w:rPr>
      </w:pPr>
    </w:p>
    <w:p w:rsidR="00A92BE9" w:rsidRPr="00DD684A" w:rsidRDefault="00A92BE9" w:rsidP="00C7658D">
      <w:pPr>
        <w:tabs>
          <w:tab w:val="left" w:pos="4678"/>
          <w:tab w:val="left" w:pos="5103"/>
        </w:tabs>
        <w:spacing w:after="0" w:line="240" w:lineRule="auto"/>
        <w:rPr>
          <w:rFonts w:asciiTheme="majorHAnsi" w:eastAsia="Century Gothic" w:hAnsiTheme="majorHAnsi" w:cstheme="majorHAnsi"/>
          <w:b/>
          <w:sz w:val="28"/>
          <w:szCs w:val="28"/>
          <w:highlight w:val="white"/>
        </w:rPr>
      </w:pPr>
    </w:p>
    <w:p w:rsidR="00C7658D" w:rsidRPr="00DD684A" w:rsidRDefault="009D3D9A" w:rsidP="00C7658D">
      <w:pPr>
        <w:tabs>
          <w:tab w:val="left" w:pos="4678"/>
          <w:tab w:val="left" w:pos="5103"/>
        </w:tabs>
        <w:spacing w:after="0" w:line="240" w:lineRule="auto"/>
        <w:rPr>
          <w:rFonts w:asciiTheme="majorHAnsi" w:eastAsia="Century Gothic" w:hAnsiTheme="majorHAnsi" w:cstheme="majorHAnsi"/>
          <w:b/>
          <w:sz w:val="28"/>
          <w:szCs w:val="28"/>
          <w:highlight w:val="white"/>
        </w:rPr>
      </w:pPr>
      <w:r w:rsidRPr="00DD684A">
        <w:rPr>
          <w:rFonts w:asciiTheme="majorHAnsi" w:eastAsia="Century Gothic" w:hAnsiTheme="majorHAnsi" w:cstheme="majorHAnsi"/>
          <w:b/>
          <w:sz w:val="28"/>
          <w:szCs w:val="28"/>
          <w:highlight w:val="white"/>
        </w:rPr>
        <w:t>PIEDAD CORREAL RUBIANO</w:t>
      </w:r>
      <w:r w:rsidR="00C7658D" w:rsidRPr="00DD684A">
        <w:rPr>
          <w:rFonts w:asciiTheme="majorHAnsi" w:eastAsia="Century Gothic" w:hAnsiTheme="majorHAnsi" w:cstheme="majorHAnsi"/>
          <w:b/>
          <w:sz w:val="28"/>
          <w:szCs w:val="28"/>
          <w:highlight w:val="white"/>
        </w:rPr>
        <w:tab/>
        <w:t>ANA PAOLA GARCÍA SOTO</w:t>
      </w:r>
    </w:p>
    <w:p w:rsidR="00C7658D" w:rsidRPr="00DD684A" w:rsidRDefault="00A92BE9" w:rsidP="00C7658D">
      <w:pPr>
        <w:tabs>
          <w:tab w:val="left" w:pos="4678"/>
          <w:tab w:val="left" w:pos="5103"/>
        </w:tabs>
        <w:spacing w:after="0" w:line="240" w:lineRule="auto"/>
        <w:rPr>
          <w:rFonts w:asciiTheme="majorHAnsi" w:eastAsia="Century Gothic" w:hAnsiTheme="majorHAnsi" w:cstheme="majorHAnsi"/>
          <w:sz w:val="28"/>
          <w:szCs w:val="28"/>
          <w:highlight w:val="white"/>
        </w:rPr>
      </w:pPr>
      <w:r w:rsidRPr="00DD684A">
        <w:rPr>
          <w:rFonts w:asciiTheme="majorHAnsi" w:eastAsia="Century Gothic" w:hAnsiTheme="majorHAnsi" w:cstheme="majorHAnsi"/>
          <w:sz w:val="28"/>
          <w:szCs w:val="28"/>
          <w:highlight w:val="white"/>
        </w:rPr>
        <w:t xml:space="preserve">Ponente </w:t>
      </w:r>
      <w:r w:rsidR="007042B0" w:rsidRPr="00DD684A">
        <w:rPr>
          <w:rFonts w:asciiTheme="majorHAnsi" w:eastAsia="Century Gothic" w:hAnsiTheme="majorHAnsi" w:cstheme="majorHAnsi"/>
          <w:sz w:val="28"/>
          <w:szCs w:val="28"/>
          <w:highlight w:val="white"/>
        </w:rPr>
        <w:t>Coordinador</w:t>
      </w:r>
      <w:r w:rsidR="00340B07">
        <w:rPr>
          <w:rFonts w:asciiTheme="majorHAnsi" w:eastAsia="Century Gothic" w:hAnsiTheme="majorHAnsi" w:cstheme="majorHAnsi"/>
          <w:sz w:val="28"/>
          <w:szCs w:val="28"/>
          <w:highlight w:val="white"/>
        </w:rPr>
        <w:t>a</w:t>
      </w:r>
      <w:bookmarkStart w:id="0" w:name="_GoBack"/>
      <w:bookmarkEnd w:id="0"/>
      <w:r w:rsidR="007042B0" w:rsidRPr="00DD684A">
        <w:rPr>
          <w:rFonts w:asciiTheme="majorHAnsi" w:eastAsia="Century Gothic" w:hAnsiTheme="majorHAnsi" w:cstheme="majorHAnsi"/>
          <w:sz w:val="28"/>
          <w:szCs w:val="28"/>
          <w:highlight w:val="white"/>
        </w:rPr>
        <w:tab/>
        <w:t>Presidenta</w:t>
      </w:r>
      <w:r w:rsidR="00C7658D" w:rsidRPr="00DD684A">
        <w:rPr>
          <w:rFonts w:asciiTheme="majorHAnsi" w:eastAsia="Century Gothic" w:hAnsiTheme="majorHAnsi" w:cstheme="majorHAnsi"/>
          <w:sz w:val="28"/>
          <w:szCs w:val="28"/>
          <w:highlight w:val="white"/>
        </w:rPr>
        <w:t xml:space="preserve"> </w:t>
      </w:r>
    </w:p>
    <w:p w:rsidR="00A92BE9" w:rsidRPr="00DD684A" w:rsidRDefault="00A92BE9" w:rsidP="00A92BE9">
      <w:pPr>
        <w:tabs>
          <w:tab w:val="left" w:pos="4678"/>
          <w:tab w:val="left" w:pos="5103"/>
        </w:tabs>
        <w:spacing w:after="0" w:line="240" w:lineRule="auto"/>
        <w:rPr>
          <w:rFonts w:asciiTheme="majorHAnsi" w:eastAsia="Century Gothic" w:hAnsiTheme="majorHAnsi" w:cstheme="majorHAnsi"/>
          <w:sz w:val="28"/>
          <w:szCs w:val="28"/>
        </w:rPr>
      </w:pPr>
    </w:p>
    <w:p w:rsidR="00A92BE9" w:rsidRPr="00DD684A" w:rsidRDefault="00A92BE9" w:rsidP="00A92BE9">
      <w:pPr>
        <w:tabs>
          <w:tab w:val="left" w:pos="4678"/>
          <w:tab w:val="left" w:pos="5103"/>
        </w:tabs>
        <w:spacing w:after="0" w:line="240" w:lineRule="auto"/>
        <w:rPr>
          <w:rFonts w:asciiTheme="majorHAnsi" w:eastAsia="Century Gothic" w:hAnsiTheme="majorHAnsi" w:cstheme="majorHAnsi"/>
          <w:sz w:val="28"/>
          <w:szCs w:val="28"/>
        </w:rPr>
      </w:pPr>
    </w:p>
    <w:p w:rsidR="00A92BE9" w:rsidRPr="00DD684A" w:rsidRDefault="00A92BE9" w:rsidP="00A92BE9">
      <w:pPr>
        <w:tabs>
          <w:tab w:val="left" w:pos="4678"/>
          <w:tab w:val="left" w:pos="5103"/>
        </w:tabs>
        <w:spacing w:after="0" w:line="240" w:lineRule="auto"/>
        <w:rPr>
          <w:rFonts w:asciiTheme="majorHAnsi" w:eastAsia="Century Gothic" w:hAnsiTheme="majorHAnsi" w:cstheme="majorHAnsi"/>
          <w:sz w:val="28"/>
          <w:szCs w:val="28"/>
        </w:rPr>
      </w:pPr>
    </w:p>
    <w:p w:rsidR="00C7658D" w:rsidRPr="00DD684A" w:rsidRDefault="007042B0" w:rsidP="00A92BE9">
      <w:pPr>
        <w:tabs>
          <w:tab w:val="left" w:pos="4678"/>
          <w:tab w:val="left" w:pos="5103"/>
        </w:tabs>
        <w:spacing w:after="0" w:line="240" w:lineRule="auto"/>
        <w:rPr>
          <w:rFonts w:asciiTheme="majorHAnsi" w:eastAsia="Century Gothic" w:hAnsiTheme="majorHAnsi" w:cstheme="majorHAnsi"/>
          <w:b/>
          <w:sz w:val="28"/>
          <w:szCs w:val="28"/>
        </w:rPr>
      </w:pPr>
      <w:r w:rsidRPr="00DD684A">
        <w:rPr>
          <w:rFonts w:asciiTheme="majorHAnsi" w:eastAsia="Century Gothic" w:hAnsiTheme="majorHAnsi" w:cstheme="majorHAnsi"/>
          <w:b/>
          <w:sz w:val="28"/>
          <w:szCs w:val="28"/>
        </w:rPr>
        <w:t xml:space="preserve">                                   </w:t>
      </w:r>
      <w:r w:rsidR="00C7658D" w:rsidRPr="00DD684A">
        <w:rPr>
          <w:rFonts w:asciiTheme="majorHAnsi" w:eastAsia="Century Gothic" w:hAnsiTheme="majorHAnsi" w:cstheme="majorHAnsi"/>
          <w:b/>
          <w:sz w:val="28"/>
          <w:szCs w:val="28"/>
        </w:rPr>
        <w:t>AMPARO YANETH CALDERON PERDOMO</w:t>
      </w:r>
    </w:p>
    <w:p w:rsidR="008C485F" w:rsidRPr="00DD684A" w:rsidRDefault="007042B0" w:rsidP="00A92BE9">
      <w:pPr>
        <w:tabs>
          <w:tab w:val="left" w:pos="4678"/>
          <w:tab w:val="left" w:pos="5103"/>
        </w:tabs>
        <w:spacing w:after="0" w:line="240" w:lineRule="auto"/>
        <w:rPr>
          <w:rFonts w:asciiTheme="majorHAnsi" w:eastAsia="Arial Narrow" w:hAnsiTheme="majorHAnsi" w:cstheme="majorHAnsi"/>
          <w:color w:val="000000"/>
          <w:sz w:val="28"/>
          <w:szCs w:val="28"/>
        </w:rPr>
      </w:pPr>
      <w:r w:rsidRPr="00DD684A">
        <w:rPr>
          <w:rFonts w:asciiTheme="majorHAnsi" w:eastAsia="Century Gothic" w:hAnsiTheme="majorHAnsi" w:cstheme="majorHAnsi"/>
          <w:sz w:val="28"/>
          <w:szCs w:val="28"/>
          <w:highlight w:val="white"/>
        </w:rPr>
        <w:t xml:space="preserve">                                                         </w:t>
      </w:r>
      <w:r w:rsidR="00C7658D" w:rsidRPr="00DD684A">
        <w:rPr>
          <w:rFonts w:asciiTheme="majorHAnsi" w:eastAsia="Century Gothic" w:hAnsiTheme="majorHAnsi" w:cstheme="majorHAnsi"/>
          <w:sz w:val="28"/>
          <w:szCs w:val="28"/>
          <w:highlight w:val="white"/>
        </w:rPr>
        <w:t>Secretaria</w:t>
      </w:r>
    </w:p>
    <w:sectPr w:rsidR="008C485F" w:rsidRPr="00DD684A"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016" w:rsidRDefault="00960016" w:rsidP="002B77F9">
      <w:pPr>
        <w:spacing w:after="0" w:line="240" w:lineRule="auto"/>
      </w:pPr>
      <w:r>
        <w:separator/>
      </w:r>
    </w:p>
  </w:endnote>
  <w:endnote w:type="continuationSeparator" w:id="0">
    <w:p w:rsidR="00960016" w:rsidRDefault="00960016"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7D2B23" w:rsidRPr="00F31B05" w:rsidRDefault="007D2B23"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7D2B23" w:rsidRPr="00CA7BFC" w:rsidRDefault="007D2B23"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7D2B23" w:rsidRDefault="007D2B23"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016" w:rsidRDefault="00960016" w:rsidP="002B77F9">
      <w:pPr>
        <w:spacing w:after="0" w:line="240" w:lineRule="auto"/>
      </w:pPr>
      <w:r>
        <w:separator/>
      </w:r>
    </w:p>
  </w:footnote>
  <w:footnote w:type="continuationSeparator" w:id="0">
    <w:p w:rsidR="00960016" w:rsidRDefault="00960016"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B23" w:rsidRDefault="00960016" w:rsidP="00C72FDB">
    <w:pPr>
      <w:pStyle w:val="Encabezado"/>
      <w:jc w:val="center"/>
    </w:pPr>
    <w:sdt>
      <w:sdtPr>
        <w:id w:val="1036773030"/>
        <w:docPartObj>
          <w:docPartGallery w:val="Page Numbers (Margins)"/>
          <w:docPartUnique/>
        </w:docPartObj>
      </w:sdtPr>
      <w:sdtEndPr/>
      <w:sdtContent>
        <w:r w:rsidR="007D2B23">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B23" w:rsidRDefault="007D2B23">
                              <w:pPr>
                                <w:pBdr>
                                  <w:bottom w:val="single" w:sz="4" w:space="1" w:color="auto"/>
                                </w:pBdr>
                              </w:pPr>
                              <w:r>
                                <w:fldChar w:fldCharType="begin"/>
                              </w:r>
                              <w:r>
                                <w:instrText>PAGE   \* MERGEFORMAT</w:instrText>
                              </w:r>
                              <w:r>
                                <w:fldChar w:fldCharType="separate"/>
                              </w:r>
                              <w:r w:rsidR="00340B07" w:rsidRPr="00340B07">
                                <w:rPr>
                                  <w:noProof/>
                                  <w:lang w:val="es-ES"/>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D2B23" w:rsidRDefault="007D2B23">
                        <w:pPr>
                          <w:pBdr>
                            <w:bottom w:val="single" w:sz="4" w:space="1" w:color="auto"/>
                          </w:pBdr>
                        </w:pPr>
                        <w:r>
                          <w:fldChar w:fldCharType="begin"/>
                        </w:r>
                        <w:r>
                          <w:instrText>PAGE   \* MERGEFORMAT</w:instrText>
                        </w:r>
                        <w:r>
                          <w:fldChar w:fldCharType="separate"/>
                        </w:r>
                        <w:r w:rsidR="00340B07" w:rsidRPr="00340B07">
                          <w:rPr>
                            <w:noProof/>
                            <w:lang w:val="es-ES"/>
                          </w:rPr>
                          <w:t>4</w:t>
                        </w:r>
                        <w:r>
                          <w:fldChar w:fldCharType="end"/>
                        </w:r>
                      </w:p>
                    </w:txbxContent>
                  </v:textbox>
                  <w10:wrap anchorx="margin" anchory="margin"/>
                </v:rect>
              </w:pict>
            </mc:Fallback>
          </mc:AlternateContent>
        </w:r>
      </w:sdtContent>
    </w:sdt>
    <w:r w:rsidR="007D2B23">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7D2B23" w:rsidRDefault="007D2B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1"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E6423FF"/>
    <w:multiLevelType w:val="multilevel"/>
    <w:tmpl w:val="5F162B50"/>
    <w:lvl w:ilvl="0">
      <w:start w:val="1"/>
      <w:numFmt w:val="decimal"/>
      <w:lvlText w:val="%1."/>
      <w:lvlJc w:val="left"/>
      <w:pPr>
        <w:ind w:left="842" w:hanging="421"/>
      </w:pPr>
      <w:rPr>
        <w:rFonts w:ascii="Century Gothic" w:eastAsia="Century Gothic" w:hAnsi="Century Gothic" w:cs="Century Gothic"/>
        <w:sz w:val="24"/>
        <w:szCs w:val="24"/>
      </w:rPr>
    </w:lvl>
    <w:lvl w:ilvl="1">
      <w:numFmt w:val="bullet"/>
      <w:lvlText w:val="•"/>
      <w:lvlJc w:val="left"/>
      <w:pPr>
        <w:ind w:left="1784" w:hanging="421"/>
      </w:pPr>
    </w:lvl>
    <w:lvl w:ilvl="2">
      <w:numFmt w:val="bullet"/>
      <w:lvlText w:val="•"/>
      <w:lvlJc w:val="left"/>
      <w:pPr>
        <w:ind w:left="2726" w:hanging="420"/>
      </w:pPr>
    </w:lvl>
    <w:lvl w:ilvl="3">
      <w:numFmt w:val="bullet"/>
      <w:lvlText w:val="•"/>
      <w:lvlJc w:val="left"/>
      <w:pPr>
        <w:ind w:left="3668" w:hanging="421"/>
      </w:pPr>
    </w:lvl>
    <w:lvl w:ilvl="4">
      <w:numFmt w:val="bullet"/>
      <w:lvlText w:val="•"/>
      <w:lvlJc w:val="left"/>
      <w:pPr>
        <w:ind w:left="4610" w:hanging="421"/>
      </w:pPr>
    </w:lvl>
    <w:lvl w:ilvl="5">
      <w:numFmt w:val="bullet"/>
      <w:lvlText w:val="•"/>
      <w:lvlJc w:val="left"/>
      <w:pPr>
        <w:ind w:left="5552" w:hanging="421"/>
      </w:pPr>
    </w:lvl>
    <w:lvl w:ilvl="6">
      <w:numFmt w:val="bullet"/>
      <w:lvlText w:val="•"/>
      <w:lvlJc w:val="left"/>
      <w:pPr>
        <w:ind w:left="6494" w:hanging="421"/>
      </w:pPr>
    </w:lvl>
    <w:lvl w:ilvl="7">
      <w:numFmt w:val="bullet"/>
      <w:lvlText w:val="•"/>
      <w:lvlJc w:val="left"/>
      <w:pPr>
        <w:ind w:left="7436" w:hanging="421"/>
      </w:pPr>
    </w:lvl>
    <w:lvl w:ilvl="8">
      <w:numFmt w:val="bullet"/>
      <w:lvlText w:val="•"/>
      <w:lvlJc w:val="left"/>
      <w:pPr>
        <w:ind w:left="8378" w:hanging="421"/>
      </w:pPr>
    </w:lvl>
  </w:abstractNum>
  <w:abstractNum w:abstractNumId="14" w15:restartNumberingAfterBreak="0">
    <w:nsid w:val="55781341"/>
    <w:multiLevelType w:val="multilevel"/>
    <w:tmpl w:val="ADB454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6"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7"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28"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8"/>
  </w:num>
  <w:num w:numId="3">
    <w:abstractNumId w:val="12"/>
  </w:num>
  <w:num w:numId="4">
    <w:abstractNumId w:val="1"/>
  </w:num>
  <w:num w:numId="5">
    <w:abstractNumId w:val="2"/>
  </w:num>
  <w:num w:numId="6">
    <w:abstractNumId w:val="7"/>
  </w:num>
  <w:num w:numId="7">
    <w:abstractNumId w:val="0"/>
  </w:num>
  <w:num w:numId="8">
    <w:abstractNumId w:val="19"/>
  </w:num>
  <w:num w:numId="9">
    <w:abstractNumId w:val="9"/>
  </w:num>
  <w:num w:numId="10">
    <w:abstractNumId w:val="15"/>
  </w:num>
  <w:num w:numId="11">
    <w:abstractNumId w:val="30"/>
  </w:num>
  <w:num w:numId="12">
    <w:abstractNumId w:val="22"/>
  </w:num>
  <w:num w:numId="13">
    <w:abstractNumId w:val="29"/>
  </w:num>
  <w:num w:numId="14">
    <w:abstractNumId w:val="20"/>
  </w:num>
  <w:num w:numId="15">
    <w:abstractNumId w:val="18"/>
  </w:num>
  <w:num w:numId="16">
    <w:abstractNumId w:val="25"/>
  </w:num>
  <w:num w:numId="17">
    <w:abstractNumId w:val="17"/>
  </w:num>
  <w:num w:numId="18">
    <w:abstractNumId w:val="3"/>
  </w:num>
  <w:num w:numId="19">
    <w:abstractNumId w:val="4"/>
  </w:num>
  <w:num w:numId="20">
    <w:abstractNumId w:val="26"/>
  </w:num>
  <w:num w:numId="21">
    <w:abstractNumId w:val="23"/>
  </w:num>
  <w:num w:numId="22">
    <w:abstractNumId w:val="21"/>
  </w:num>
  <w:num w:numId="23">
    <w:abstractNumId w:val="16"/>
  </w:num>
  <w:num w:numId="24">
    <w:abstractNumId w:val="28"/>
  </w:num>
  <w:num w:numId="25">
    <w:abstractNumId w:val="11"/>
  </w:num>
  <w:num w:numId="26">
    <w:abstractNumId w:val="24"/>
  </w:num>
  <w:num w:numId="27">
    <w:abstractNumId w:val="6"/>
  </w:num>
  <w:num w:numId="28">
    <w:abstractNumId w:val="27"/>
  </w:num>
  <w:num w:numId="29">
    <w:abstractNumId w:val="10"/>
  </w:num>
  <w:num w:numId="30">
    <w:abstractNumId w:val="1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60965"/>
    <w:rsid w:val="0006371A"/>
    <w:rsid w:val="00071BE2"/>
    <w:rsid w:val="00072389"/>
    <w:rsid w:val="000B2703"/>
    <w:rsid w:val="000B431C"/>
    <w:rsid w:val="000B4D84"/>
    <w:rsid w:val="000B7306"/>
    <w:rsid w:val="001066C3"/>
    <w:rsid w:val="00130B13"/>
    <w:rsid w:val="00187F26"/>
    <w:rsid w:val="0019687F"/>
    <w:rsid w:val="001A730E"/>
    <w:rsid w:val="001B59F5"/>
    <w:rsid w:val="001C02DA"/>
    <w:rsid w:val="001D46E7"/>
    <w:rsid w:val="001F1108"/>
    <w:rsid w:val="001F2372"/>
    <w:rsid w:val="001F4B8D"/>
    <w:rsid w:val="00205249"/>
    <w:rsid w:val="00210CAA"/>
    <w:rsid w:val="00210E09"/>
    <w:rsid w:val="002227A1"/>
    <w:rsid w:val="00234747"/>
    <w:rsid w:val="00234FE5"/>
    <w:rsid w:val="002502B4"/>
    <w:rsid w:val="00255D5C"/>
    <w:rsid w:val="00260D6F"/>
    <w:rsid w:val="002743DF"/>
    <w:rsid w:val="00286D4E"/>
    <w:rsid w:val="002A00E2"/>
    <w:rsid w:val="002A3EA0"/>
    <w:rsid w:val="002B541B"/>
    <w:rsid w:val="002B6AF6"/>
    <w:rsid w:val="002B77F9"/>
    <w:rsid w:val="002D7DBF"/>
    <w:rsid w:val="002E25CA"/>
    <w:rsid w:val="002F02B3"/>
    <w:rsid w:val="002F539C"/>
    <w:rsid w:val="00311769"/>
    <w:rsid w:val="00321326"/>
    <w:rsid w:val="00335045"/>
    <w:rsid w:val="00340B07"/>
    <w:rsid w:val="00342B29"/>
    <w:rsid w:val="00355892"/>
    <w:rsid w:val="003604D0"/>
    <w:rsid w:val="00376F05"/>
    <w:rsid w:val="003873C2"/>
    <w:rsid w:val="00387BD8"/>
    <w:rsid w:val="00393CA3"/>
    <w:rsid w:val="00394EAC"/>
    <w:rsid w:val="003B0401"/>
    <w:rsid w:val="003C4239"/>
    <w:rsid w:val="003F126E"/>
    <w:rsid w:val="003F5C5D"/>
    <w:rsid w:val="003F7B98"/>
    <w:rsid w:val="003F7F52"/>
    <w:rsid w:val="00402853"/>
    <w:rsid w:val="0042093D"/>
    <w:rsid w:val="00424186"/>
    <w:rsid w:val="0043525D"/>
    <w:rsid w:val="00436F33"/>
    <w:rsid w:val="00463B62"/>
    <w:rsid w:val="00464F6C"/>
    <w:rsid w:val="00467F60"/>
    <w:rsid w:val="004730CF"/>
    <w:rsid w:val="00485F9F"/>
    <w:rsid w:val="0049097B"/>
    <w:rsid w:val="00491BD2"/>
    <w:rsid w:val="004C0174"/>
    <w:rsid w:val="004C05B3"/>
    <w:rsid w:val="004C367F"/>
    <w:rsid w:val="004C57E9"/>
    <w:rsid w:val="004C5D69"/>
    <w:rsid w:val="004D4AE0"/>
    <w:rsid w:val="004D759E"/>
    <w:rsid w:val="00511ED4"/>
    <w:rsid w:val="00514173"/>
    <w:rsid w:val="00520C0E"/>
    <w:rsid w:val="00531BD8"/>
    <w:rsid w:val="0054460A"/>
    <w:rsid w:val="00546013"/>
    <w:rsid w:val="0054784F"/>
    <w:rsid w:val="00554A09"/>
    <w:rsid w:val="005648D5"/>
    <w:rsid w:val="00566713"/>
    <w:rsid w:val="0057315F"/>
    <w:rsid w:val="00591B77"/>
    <w:rsid w:val="00592B55"/>
    <w:rsid w:val="005A2CA1"/>
    <w:rsid w:val="005B23D7"/>
    <w:rsid w:val="005B4CE4"/>
    <w:rsid w:val="005C604F"/>
    <w:rsid w:val="005D4583"/>
    <w:rsid w:val="005D4CF6"/>
    <w:rsid w:val="005E17D9"/>
    <w:rsid w:val="00615662"/>
    <w:rsid w:val="00617D5F"/>
    <w:rsid w:val="006263B1"/>
    <w:rsid w:val="006466D3"/>
    <w:rsid w:val="00651F09"/>
    <w:rsid w:val="00657E26"/>
    <w:rsid w:val="006729F8"/>
    <w:rsid w:val="006842AA"/>
    <w:rsid w:val="00685C7B"/>
    <w:rsid w:val="006A433F"/>
    <w:rsid w:val="006A6080"/>
    <w:rsid w:val="006C2025"/>
    <w:rsid w:val="006E2C22"/>
    <w:rsid w:val="006E3F60"/>
    <w:rsid w:val="006F5535"/>
    <w:rsid w:val="007042B0"/>
    <w:rsid w:val="007118F9"/>
    <w:rsid w:val="00740FC1"/>
    <w:rsid w:val="00741F4B"/>
    <w:rsid w:val="007523F7"/>
    <w:rsid w:val="00752442"/>
    <w:rsid w:val="00762CE9"/>
    <w:rsid w:val="00766C73"/>
    <w:rsid w:val="00767102"/>
    <w:rsid w:val="00770A1E"/>
    <w:rsid w:val="00784634"/>
    <w:rsid w:val="00791199"/>
    <w:rsid w:val="007A27BF"/>
    <w:rsid w:val="007A64EA"/>
    <w:rsid w:val="007C1176"/>
    <w:rsid w:val="007C2835"/>
    <w:rsid w:val="007C791A"/>
    <w:rsid w:val="007D2B23"/>
    <w:rsid w:val="007F02A1"/>
    <w:rsid w:val="007F733D"/>
    <w:rsid w:val="0081409F"/>
    <w:rsid w:val="00820746"/>
    <w:rsid w:val="00820AC5"/>
    <w:rsid w:val="008214EF"/>
    <w:rsid w:val="00832933"/>
    <w:rsid w:val="0083563E"/>
    <w:rsid w:val="008356FB"/>
    <w:rsid w:val="00836D1A"/>
    <w:rsid w:val="00864666"/>
    <w:rsid w:val="00864E81"/>
    <w:rsid w:val="008948A9"/>
    <w:rsid w:val="008C0270"/>
    <w:rsid w:val="008C485F"/>
    <w:rsid w:val="008C4F3D"/>
    <w:rsid w:val="008C5463"/>
    <w:rsid w:val="008C5C63"/>
    <w:rsid w:val="008D5251"/>
    <w:rsid w:val="008D78C3"/>
    <w:rsid w:val="008F3182"/>
    <w:rsid w:val="009230CE"/>
    <w:rsid w:val="00923E69"/>
    <w:rsid w:val="00930B4E"/>
    <w:rsid w:val="0093261F"/>
    <w:rsid w:val="009338BD"/>
    <w:rsid w:val="00936449"/>
    <w:rsid w:val="00960016"/>
    <w:rsid w:val="00971B33"/>
    <w:rsid w:val="00980BCD"/>
    <w:rsid w:val="00986396"/>
    <w:rsid w:val="009927DB"/>
    <w:rsid w:val="00993253"/>
    <w:rsid w:val="0099350E"/>
    <w:rsid w:val="00993DA6"/>
    <w:rsid w:val="009A138B"/>
    <w:rsid w:val="009A58FC"/>
    <w:rsid w:val="009B67AC"/>
    <w:rsid w:val="009C12A5"/>
    <w:rsid w:val="009D3D9A"/>
    <w:rsid w:val="009E2B17"/>
    <w:rsid w:val="009F327E"/>
    <w:rsid w:val="009F5598"/>
    <w:rsid w:val="00A25E23"/>
    <w:rsid w:val="00A43CC7"/>
    <w:rsid w:val="00A45EAE"/>
    <w:rsid w:val="00A46D79"/>
    <w:rsid w:val="00A75B7B"/>
    <w:rsid w:val="00A75CDA"/>
    <w:rsid w:val="00A872C8"/>
    <w:rsid w:val="00A92BE9"/>
    <w:rsid w:val="00A93F0E"/>
    <w:rsid w:val="00A952CD"/>
    <w:rsid w:val="00A95D13"/>
    <w:rsid w:val="00AA243C"/>
    <w:rsid w:val="00AB14CD"/>
    <w:rsid w:val="00AD3B2D"/>
    <w:rsid w:val="00AE692D"/>
    <w:rsid w:val="00AE7CD6"/>
    <w:rsid w:val="00AF16B0"/>
    <w:rsid w:val="00AF36DE"/>
    <w:rsid w:val="00AF7024"/>
    <w:rsid w:val="00AF764F"/>
    <w:rsid w:val="00B01CAB"/>
    <w:rsid w:val="00B1158E"/>
    <w:rsid w:val="00B17EFD"/>
    <w:rsid w:val="00B445A7"/>
    <w:rsid w:val="00B45F28"/>
    <w:rsid w:val="00B50033"/>
    <w:rsid w:val="00B60DFC"/>
    <w:rsid w:val="00BB52F2"/>
    <w:rsid w:val="00BC47DE"/>
    <w:rsid w:val="00BD4141"/>
    <w:rsid w:val="00BD5A9F"/>
    <w:rsid w:val="00C0765C"/>
    <w:rsid w:val="00C14E17"/>
    <w:rsid w:val="00C27B20"/>
    <w:rsid w:val="00C41881"/>
    <w:rsid w:val="00C421C4"/>
    <w:rsid w:val="00C5586A"/>
    <w:rsid w:val="00C72FDB"/>
    <w:rsid w:val="00C74091"/>
    <w:rsid w:val="00C74871"/>
    <w:rsid w:val="00C7658D"/>
    <w:rsid w:val="00C81DC9"/>
    <w:rsid w:val="00C90D70"/>
    <w:rsid w:val="00C91D4B"/>
    <w:rsid w:val="00CA1400"/>
    <w:rsid w:val="00CD1D47"/>
    <w:rsid w:val="00CF4523"/>
    <w:rsid w:val="00CF6F6C"/>
    <w:rsid w:val="00D012A0"/>
    <w:rsid w:val="00D06595"/>
    <w:rsid w:val="00D25E1A"/>
    <w:rsid w:val="00D33DBE"/>
    <w:rsid w:val="00D365ED"/>
    <w:rsid w:val="00D42340"/>
    <w:rsid w:val="00D87E48"/>
    <w:rsid w:val="00D911EB"/>
    <w:rsid w:val="00DB22F4"/>
    <w:rsid w:val="00DB30E5"/>
    <w:rsid w:val="00DB4E51"/>
    <w:rsid w:val="00DC15B5"/>
    <w:rsid w:val="00DC757E"/>
    <w:rsid w:val="00DD54E9"/>
    <w:rsid w:val="00DD684A"/>
    <w:rsid w:val="00DE1E0A"/>
    <w:rsid w:val="00DE5B04"/>
    <w:rsid w:val="00DF01CA"/>
    <w:rsid w:val="00DF1873"/>
    <w:rsid w:val="00DF48FD"/>
    <w:rsid w:val="00DF514E"/>
    <w:rsid w:val="00E00980"/>
    <w:rsid w:val="00E0796D"/>
    <w:rsid w:val="00E20DB4"/>
    <w:rsid w:val="00E2117A"/>
    <w:rsid w:val="00E31547"/>
    <w:rsid w:val="00E35FD6"/>
    <w:rsid w:val="00E45EC6"/>
    <w:rsid w:val="00E50203"/>
    <w:rsid w:val="00E56423"/>
    <w:rsid w:val="00E61EC5"/>
    <w:rsid w:val="00E66A69"/>
    <w:rsid w:val="00E70D43"/>
    <w:rsid w:val="00E7734E"/>
    <w:rsid w:val="00E81991"/>
    <w:rsid w:val="00E846BD"/>
    <w:rsid w:val="00E90D44"/>
    <w:rsid w:val="00ED1DD7"/>
    <w:rsid w:val="00ED1E60"/>
    <w:rsid w:val="00F003FA"/>
    <w:rsid w:val="00F076AA"/>
    <w:rsid w:val="00F1201D"/>
    <w:rsid w:val="00F13684"/>
    <w:rsid w:val="00F20DA4"/>
    <w:rsid w:val="00F22E0C"/>
    <w:rsid w:val="00F27207"/>
    <w:rsid w:val="00F3400C"/>
    <w:rsid w:val="00F418EE"/>
    <w:rsid w:val="00F43BBF"/>
    <w:rsid w:val="00F5565A"/>
    <w:rsid w:val="00F82B12"/>
    <w:rsid w:val="00F86683"/>
    <w:rsid w:val="00F87F21"/>
    <w:rsid w:val="00FA7F82"/>
    <w:rsid w:val="00FB07C2"/>
    <w:rsid w:val="00FC0521"/>
    <w:rsid w:val="00FE7D52"/>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D7A36"/>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Textonotapie">
    <w:name w:val="footnote text"/>
    <w:basedOn w:val="Normal"/>
    <w:link w:val="TextonotapieCar"/>
    <w:uiPriority w:val="99"/>
    <w:unhideWhenUsed/>
    <w:rsid w:val="007042B0"/>
    <w:pPr>
      <w:spacing w:after="0" w:line="240" w:lineRule="auto"/>
    </w:pPr>
    <w:rPr>
      <w:sz w:val="20"/>
      <w:szCs w:val="20"/>
    </w:rPr>
  </w:style>
  <w:style w:type="character" w:customStyle="1" w:styleId="TextonotapieCar">
    <w:name w:val="Texto nota pie Car"/>
    <w:basedOn w:val="Fuentedeprrafopredeter"/>
    <w:link w:val="Textonotapie"/>
    <w:uiPriority w:val="99"/>
    <w:rsid w:val="00704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581253583">
      <w:bodyDiv w:val="1"/>
      <w:marLeft w:val="0"/>
      <w:marRight w:val="0"/>
      <w:marTop w:val="0"/>
      <w:marBottom w:val="0"/>
      <w:divBdr>
        <w:top w:val="none" w:sz="0" w:space="0" w:color="auto"/>
        <w:left w:val="none" w:sz="0" w:space="0" w:color="auto"/>
        <w:bottom w:val="none" w:sz="0" w:space="0" w:color="auto"/>
        <w:right w:val="none" w:sz="0" w:space="0" w:color="auto"/>
      </w:divBdr>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71D32-05C3-483B-8CA2-2DD90698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1077</Words>
  <Characters>5925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22</cp:revision>
  <cp:lastPrinted>2025-04-03T19:27:00Z</cp:lastPrinted>
  <dcterms:created xsi:type="dcterms:W3CDTF">2025-03-31T20:11:00Z</dcterms:created>
  <dcterms:modified xsi:type="dcterms:W3CDTF">2025-04-07T22:26:00Z</dcterms:modified>
</cp:coreProperties>
</file>